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C2AD" w14:textId="44F4B956" w:rsidR="00487060" w:rsidRDefault="00487060" w:rsidP="00DC2D6D"/>
    <w:p w14:paraId="48498D52" w14:textId="77777777" w:rsidR="004371E7" w:rsidRPr="00480950" w:rsidRDefault="004371E7" w:rsidP="00DC2D6D"/>
    <w:p w14:paraId="1CC252BF" w14:textId="77777777" w:rsidR="00487060" w:rsidRPr="00342DFA" w:rsidRDefault="007F07A7" w:rsidP="007F07A7">
      <w:pPr>
        <w:jc w:val="center"/>
        <w:rPr>
          <w:b/>
          <w:u w:val="single"/>
        </w:rPr>
      </w:pPr>
      <w:r w:rsidRPr="00B07C95">
        <w:rPr>
          <w:noProof/>
          <w:lang w:val="it-IT" w:eastAsia="it-IT"/>
        </w:rPr>
        <w:drawing>
          <wp:inline distT="0" distB="0" distL="0" distR="0" wp14:anchorId="78C6F43C" wp14:editId="03949B1C">
            <wp:extent cx="2816556" cy="133551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916596" cy="1382945"/>
                    </a:xfrm>
                    <a:prstGeom prst="rect">
                      <a:avLst/>
                    </a:prstGeom>
                    <a:noFill/>
                    <a:ln w="9525">
                      <a:noFill/>
                      <a:miter lim="800000"/>
                      <a:headEnd/>
                      <a:tailEnd/>
                    </a:ln>
                  </pic:spPr>
                </pic:pic>
              </a:graphicData>
            </a:graphic>
          </wp:inline>
        </w:drawing>
      </w:r>
    </w:p>
    <w:p w14:paraId="65ED3271" w14:textId="77777777" w:rsidR="00487060" w:rsidRPr="00342DFA" w:rsidRDefault="00487060" w:rsidP="00DC2D6D"/>
    <w:p w14:paraId="599A7641" w14:textId="02F6EF14" w:rsidR="00487060" w:rsidRPr="00336556" w:rsidRDefault="00185541" w:rsidP="00DC2D6D">
      <w:pPr>
        <w:pStyle w:val="Title1"/>
        <w:rPr>
          <w:color w:val="365F91" w:themeColor="accent1" w:themeShade="BF"/>
          <w:sz w:val="72"/>
          <w:szCs w:val="56"/>
        </w:rPr>
      </w:pPr>
      <w:r w:rsidRPr="00336556">
        <w:rPr>
          <w:color w:val="365F91" w:themeColor="accent1" w:themeShade="BF"/>
          <w:sz w:val="72"/>
          <w:szCs w:val="56"/>
        </w:rPr>
        <w:t>Oil &amp; Gas Climate Initiative</w:t>
      </w:r>
      <w:r w:rsidR="00AB703E" w:rsidRPr="00336556">
        <w:rPr>
          <w:color w:val="365F91" w:themeColor="accent1" w:themeShade="BF"/>
          <w:sz w:val="72"/>
          <w:szCs w:val="56"/>
        </w:rPr>
        <w:t xml:space="preserve"> </w:t>
      </w:r>
      <w:r w:rsidRPr="00336556">
        <w:rPr>
          <w:color w:val="365F91" w:themeColor="accent1" w:themeShade="BF"/>
          <w:sz w:val="72"/>
          <w:szCs w:val="56"/>
        </w:rPr>
        <w:t>Reporting Framework</w:t>
      </w:r>
    </w:p>
    <w:p w14:paraId="563E79AE" w14:textId="77777777" w:rsidR="001C0860" w:rsidRPr="00336556" w:rsidRDefault="001C0860" w:rsidP="007208C7"/>
    <w:p w14:paraId="512DDD0F" w14:textId="36A0CBEA" w:rsidR="00AB703E" w:rsidRDefault="00AB703E" w:rsidP="00DC2D6D">
      <w:pPr>
        <w:pStyle w:val="Title1"/>
        <w:rPr>
          <w:b w:val="0"/>
          <w:bCs w:val="0"/>
          <w:color w:val="365F91" w:themeColor="accent1" w:themeShade="BF"/>
          <w:sz w:val="36"/>
          <w:szCs w:val="32"/>
        </w:rPr>
      </w:pPr>
      <w:r w:rsidRPr="00336556">
        <w:rPr>
          <w:b w:val="0"/>
          <w:bCs w:val="0"/>
          <w:color w:val="365F91" w:themeColor="accent1" w:themeShade="BF"/>
          <w:sz w:val="36"/>
          <w:szCs w:val="32"/>
        </w:rPr>
        <w:t>Version 3.</w:t>
      </w:r>
      <w:r w:rsidR="000A65B6">
        <w:rPr>
          <w:b w:val="0"/>
          <w:bCs w:val="0"/>
          <w:color w:val="365F91" w:themeColor="accent1" w:themeShade="BF"/>
          <w:sz w:val="36"/>
          <w:szCs w:val="32"/>
        </w:rPr>
        <w:t>6</w:t>
      </w:r>
      <w:r w:rsidRPr="00336556">
        <w:rPr>
          <w:b w:val="0"/>
          <w:bCs w:val="0"/>
          <w:color w:val="365F91" w:themeColor="accent1" w:themeShade="BF"/>
          <w:sz w:val="36"/>
          <w:szCs w:val="32"/>
        </w:rPr>
        <w:t xml:space="preserve"> – </w:t>
      </w:r>
      <w:r w:rsidR="00DA0ABA">
        <w:rPr>
          <w:b w:val="0"/>
          <w:bCs w:val="0"/>
          <w:color w:val="365F91" w:themeColor="accent1" w:themeShade="BF"/>
          <w:sz w:val="36"/>
          <w:szCs w:val="32"/>
        </w:rPr>
        <w:t>March</w:t>
      </w:r>
      <w:r w:rsidR="00F712D1" w:rsidRPr="00336556">
        <w:rPr>
          <w:b w:val="0"/>
          <w:bCs w:val="0"/>
          <w:color w:val="365F91" w:themeColor="accent1" w:themeShade="BF"/>
          <w:sz w:val="36"/>
          <w:szCs w:val="32"/>
        </w:rPr>
        <w:t xml:space="preserve"> </w:t>
      </w:r>
      <w:r w:rsidRPr="00336556">
        <w:rPr>
          <w:b w:val="0"/>
          <w:bCs w:val="0"/>
          <w:color w:val="365F91" w:themeColor="accent1" w:themeShade="BF"/>
          <w:sz w:val="36"/>
          <w:szCs w:val="32"/>
        </w:rPr>
        <w:t>20</w:t>
      </w:r>
      <w:r w:rsidR="007B3D36">
        <w:rPr>
          <w:b w:val="0"/>
          <w:bCs w:val="0"/>
          <w:color w:val="365F91" w:themeColor="accent1" w:themeShade="BF"/>
          <w:sz w:val="36"/>
          <w:szCs w:val="32"/>
        </w:rPr>
        <w:t>2</w:t>
      </w:r>
      <w:r w:rsidR="000A65B6">
        <w:rPr>
          <w:b w:val="0"/>
          <w:bCs w:val="0"/>
          <w:color w:val="365F91" w:themeColor="accent1" w:themeShade="BF"/>
          <w:sz w:val="36"/>
          <w:szCs w:val="32"/>
        </w:rPr>
        <w:t>2</w:t>
      </w:r>
    </w:p>
    <w:p w14:paraId="64C7F91A" w14:textId="77777777" w:rsidR="000A30A9" w:rsidRDefault="000A30A9" w:rsidP="007208C7"/>
    <w:p w14:paraId="622B4842" w14:textId="77777777" w:rsidR="000A30A9" w:rsidRPr="00336556" w:rsidRDefault="000A30A9" w:rsidP="00336556">
      <w:pPr>
        <w:rPr>
          <w:b/>
          <w:bCs/>
        </w:rPr>
      </w:pPr>
    </w:p>
    <w:sdt>
      <w:sdtPr>
        <w:rPr>
          <w:rFonts w:asciiTheme="minorHAnsi" w:eastAsiaTheme="minorHAnsi" w:hAnsiTheme="minorHAnsi"/>
          <w:noProof w:val="0"/>
          <w:lang w:eastAsia="fr-FR"/>
        </w:rPr>
        <w:id w:val="9386974"/>
        <w:docPartObj>
          <w:docPartGallery w:val="Table of Contents"/>
          <w:docPartUnique/>
        </w:docPartObj>
      </w:sdtPr>
      <w:sdtEndPr>
        <w:rPr>
          <w:rFonts w:eastAsia="Times New Roman" w:cs="Calibri Light"/>
          <w:szCs w:val="20"/>
        </w:rPr>
      </w:sdtEndPr>
      <w:sdtContent>
        <w:p w14:paraId="4055EC46" w14:textId="45E75BD7" w:rsidR="00091763" w:rsidRDefault="000A30A9">
          <w:pPr>
            <w:pStyle w:val="TOC1"/>
            <w:tabs>
              <w:tab w:val="left" w:pos="440"/>
            </w:tabs>
            <w:rPr>
              <w:rFonts w:asciiTheme="minorHAnsi" w:eastAsiaTheme="minorEastAsia" w:hAnsiTheme="minorHAnsi"/>
              <w:sz w:val="22"/>
              <w:lang w:eastAsia="en-GB"/>
            </w:rPr>
          </w:pPr>
          <w:r>
            <w:rPr>
              <w:lang w:eastAsia="fr-FR"/>
            </w:rPr>
            <w:fldChar w:fldCharType="begin"/>
          </w:r>
          <w:r>
            <w:rPr>
              <w:lang w:eastAsia="fr-FR"/>
            </w:rPr>
            <w:instrText xml:space="preserve"> TOC \h \z \t "Heading 1,1" </w:instrText>
          </w:r>
          <w:r>
            <w:rPr>
              <w:lang w:eastAsia="fr-FR"/>
            </w:rPr>
            <w:fldChar w:fldCharType="separate"/>
          </w:r>
          <w:hyperlink w:anchor="_Toc97226713" w:history="1">
            <w:r w:rsidR="00091763" w:rsidRPr="00E90647">
              <w:rPr>
                <w:rStyle w:val="Hyperlink"/>
              </w:rPr>
              <w:t>1</w:t>
            </w:r>
            <w:r w:rsidR="00091763">
              <w:rPr>
                <w:rFonts w:asciiTheme="minorHAnsi" w:eastAsiaTheme="minorEastAsia" w:hAnsiTheme="minorHAnsi"/>
                <w:sz w:val="22"/>
                <w:lang w:eastAsia="en-GB"/>
              </w:rPr>
              <w:tab/>
            </w:r>
            <w:r w:rsidR="00091763" w:rsidRPr="00E90647">
              <w:rPr>
                <w:rStyle w:val="Hyperlink"/>
              </w:rPr>
              <w:t>Introduction</w:t>
            </w:r>
            <w:r w:rsidR="00091763">
              <w:rPr>
                <w:webHidden/>
              </w:rPr>
              <w:tab/>
            </w:r>
            <w:r w:rsidR="00091763">
              <w:rPr>
                <w:webHidden/>
              </w:rPr>
              <w:fldChar w:fldCharType="begin"/>
            </w:r>
            <w:r w:rsidR="00091763">
              <w:rPr>
                <w:webHidden/>
              </w:rPr>
              <w:instrText xml:space="preserve"> PAGEREF _Toc97226713 \h </w:instrText>
            </w:r>
            <w:r w:rsidR="00091763">
              <w:rPr>
                <w:webHidden/>
              </w:rPr>
            </w:r>
            <w:r w:rsidR="00091763">
              <w:rPr>
                <w:webHidden/>
              </w:rPr>
              <w:fldChar w:fldCharType="separate"/>
            </w:r>
            <w:r w:rsidR="00D2642A">
              <w:rPr>
                <w:webHidden/>
              </w:rPr>
              <w:t>2</w:t>
            </w:r>
            <w:r w:rsidR="00091763">
              <w:rPr>
                <w:webHidden/>
              </w:rPr>
              <w:fldChar w:fldCharType="end"/>
            </w:r>
          </w:hyperlink>
        </w:p>
        <w:p w14:paraId="3B55FE4A" w14:textId="3B418A08" w:rsidR="00091763" w:rsidRDefault="00000000">
          <w:pPr>
            <w:pStyle w:val="TOC1"/>
            <w:tabs>
              <w:tab w:val="left" w:pos="440"/>
            </w:tabs>
            <w:rPr>
              <w:rFonts w:asciiTheme="minorHAnsi" w:eastAsiaTheme="minorEastAsia" w:hAnsiTheme="minorHAnsi"/>
              <w:sz w:val="22"/>
              <w:lang w:eastAsia="en-GB"/>
            </w:rPr>
          </w:pPr>
          <w:hyperlink w:anchor="_Toc97226714" w:history="1">
            <w:r w:rsidR="00091763" w:rsidRPr="00E90647">
              <w:rPr>
                <w:rStyle w:val="Hyperlink"/>
              </w:rPr>
              <w:t>2</w:t>
            </w:r>
            <w:r w:rsidR="00091763">
              <w:rPr>
                <w:rFonts w:asciiTheme="minorHAnsi" w:eastAsiaTheme="minorEastAsia" w:hAnsiTheme="minorHAnsi"/>
                <w:sz w:val="22"/>
                <w:lang w:eastAsia="en-GB"/>
              </w:rPr>
              <w:tab/>
            </w:r>
            <w:r w:rsidR="00091763" w:rsidRPr="00E90647">
              <w:rPr>
                <w:rStyle w:val="Hyperlink"/>
              </w:rPr>
              <w:t>General principles of reporting</w:t>
            </w:r>
            <w:r w:rsidR="00091763">
              <w:rPr>
                <w:webHidden/>
              </w:rPr>
              <w:tab/>
            </w:r>
            <w:r w:rsidR="00091763">
              <w:rPr>
                <w:webHidden/>
              </w:rPr>
              <w:fldChar w:fldCharType="begin"/>
            </w:r>
            <w:r w:rsidR="00091763">
              <w:rPr>
                <w:webHidden/>
              </w:rPr>
              <w:instrText xml:space="preserve"> PAGEREF _Toc97226714 \h </w:instrText>
            </w:r>
            <w:r w:rsidR="00091763">
              <w:rPr>
                <w:webHidden/>
              </w:rPr>
            </w:r>
            <w:r w:rsidR="00091763">
              <w:rPr>
                <w:webHidden/>
              </w:rPr>
              <w:fldChar w:fldCharType="separate"/>
            </w:r>
            <w:r w:rsidR="00D2642A">
              <w:rPr>
                <w:webHidden/>
              </w:rPr>
              <w:t>2</w:t>
            </w:r>
            <w:r w:rsidR="00091763">
              <w:rPr>
                <w:webHidden/>
              </w:rPr>
              <w:fldChar w:fldCharType="end"/>
            </w:r>
          </w:hyperlink>
        </w:p>
        <w:p w14:paraId="6D0933F2" w14:textId="2B57FCDB" w:rsidR="00091763" w:rsidRDefault="00000000">
          <w:pPr>
            <w:pStyle w:val="TOC1"/>
            <w:tabs>
              <w:tab w:val="left" w:pos="440"/>
            </w:tabs>
            <w:rPr>
              <w:rFonts w:asciiTheme="minorHAnsi" w:eastAsiaTheme="minorEastAsia" w:hAnsiTheme="minorHAnsi"/>
              <w:sz w:val="22"/>
              <w:lang w:eastAsia="en-GB"/>
            </w:rPr>
          </w:pPr>
          <w:hyperlink w:anchor="_Toc97226715" w:history="1">
            <w:r w:rsidR="00091763" w:rsidRPr="00E90647">
              <w:rPr>
                <w:rStyle w:val="Hyperlink"/>
              </w:rPr>
              <w:t>3</w:t>
            </w:r>
            <w:r w:rsidR="00091763">
              <w:rPr>
                <w:rFonts w:asciiTheme="minorHAnsi" w:eastAsiaTheme="minorEastAsia" w:hAnsiTheme="minorHAnsi"/>
                <w:sz w:val="22"/>
                <w:lang w:eastAsia="en-GB"/>
              </w:rPr>
              <w:tab/>
            </w:r>
            <w:r w:rsidR="00091763" w:rsidRPr="00E90647">
              <w:rPr>
                <w:rStyle w:val="Hyperlink"/>
              </w:rPr>
              <w:t>Reporting process</w:t>
            </w:r>
            <w:r w:rsidR="00091763">
              <w:rPr>
                <w:webHidden/>
              </w:rPr>
              <w:tab/>
            </w:r>
            <w:r w:rsidR="00091763">
              <w:rPr>
                <w:webHidden/>
              </w:rPr>
              <w:fldChar w:fldCharType="begin"/>
            </w:r>
            <w:r w:rsidR="00091763">
              <w:rPr>
                <w:webHidden/>
              </w:rPr>
              <w:instrText xml:space="preserve"> PAGEREF _Toc97226715 \h </w:instrText>
            </w:r>
            <w:r w:rsidR="00091763">
              <w:rPr>
                <w:webHidden/>
              </w:rPr>
            </w:r>
            <w:r w:rsidR="00091763">
              <w:rPr>
                <w:webHidden/>
              </w:rPr>
              <w:fldChar w:fldCharType="separate"/>
            </w:r>
            <w:r w:rsidR="00D2642A">
              <w:rPr>
                <w:webHidden/>
              </w:rPr>
              <w:t>2</w:t>
            </w:r>
            <w:r w:rsidR="00091763">
              <w:rPr>
                <w:webHidden/>
              </w:rPr>
              <w:fldChar w:fldCharType="end"/>
            </w:r>
          </w:hyperlink>
        </w:p>
        <w:p w14:paraId="151ACDAB" w14:textId="2AAAD9FD" w:rsidR="00091763" w:rsidRDefault="00000000">
          <w:pPr>
            <w:pStyle w:val="TOC1"/>
            <w:tabs>
              <w:tab w:val="left" w:pos="440"/>
            </w:tabs>
            <w:rPr>
              <w:rFonts w:asciiTheme="minorHAnsi" w:eastAsiaTheme="minorEastAsia" w:hAnsiTheme="minorHAnsi"/>
              <w:sz w:val="22"/>
              <w:lang w:eastAsia="en-GB"/>
            </w:rPr>
          </w:pPr>
          <w:hyperlink w:anchor="_Toc97226716" w:history="1">
            <w:r w:rsidR="00091763" w:rsidRPr="00E90647">
              <w:rPr>
                <w:rStyle w:val="Hyperlink"/>
              </w:rPr>
              <w:t>4</w:t>
            </w:r>
            <w:r w:rsidR="00091763">
              <w:rPr>
                <w:rFonts w:asciiTheme="minorHAnsi" w:eastAsiaTheme="minorEastAsia" w:hAnsiTheme="minorHAnsi"/>
                <w:sz w:val="22"/>
                <w:lang w:eastAsia="en-GB"/>
              </w:rPr>
              <w:tab/>
            </w:r>
            <w:r w:rsidR="00091763" w:rsidRPr="00E90647">
              <w:rPr>
                <w:rStyle w:val="Hyperlink"/>
              </w:rPr>
              <w:t>Definitions</w:t>
            </w:r>
            <w:r w:rsidR="00091763">
              <w:rPr>
                <w:webHidden/>
              </w:rPr>
              <w:tab/>
            </w:r>
            <w:r w:rsidR="00091763">
              <w:rPr>
                <w:webHidden/>
              </w:rPr>
              <w:fldChar w:fldCharType="begin"/>
            </w:r>
            <w:r w:rsidR="00091763">
              <w:rPr>
                <w:webHidden/>
              </w:rPr>
              <w:instrText xml:space="preserve"> PAGEREF _Toc97226716 \h </w:instrText>
            </w:r>
            <w:r w:rsidR="00091763">
              <w:rPr>
                <w:webHidden/>
              </w:rPr>
            </w:r>
            <w:r w:rsidR="00091763">
              <w:rPr>
                <w:webHidden/>
              </w:rPr>
              <w:fldChar w:fldCharType="separate"/>
            </w:r>
            <w:r w:rsidR="00D2642A">
              <w:rPr>
                <w:webHidden/>
              </w:rPr>
              <w:t>3</w:t>
            </w:r>
            <w:r w:rsidR="00091763">
              <w:rPr>
                <w:webHidden/>
              </w:rPr>
              <w:fldChar w:fldCharType="end"/>
            </w:r>
          </w:hyperlink>
        </w:p>
        <w:p w14:paraId="4050CB40" w14:textId="7E3D66CC" w:rsidR="00091763" w:rsidRDefault="00000000">
          <w:pPr>
            <w:pStyle w:val="TOC1"/>
            <w:tabs>
              <w:tab w:val="left" w:pos="440"/>
            </w:tabs>
            <w:rPr>
              <w:rFonts w:asciiTheme="minorHAnsi" w:eastAsiaTheme="minorEastAsia" w:hAnsiTheme="minorHAnsi"/>
              <w:sz w:val="22"/>
              <w:lang w:eastAsia="en-GB"/>
            </w:rPr>
          </w:pPr>
          <w:hyperlink w:anchor="_Toc97226717" w:history="1">
            <w:r w:rsidR="00091763" w:rsidRPr="00E90647">
              <w:rPr>
                <w:rStyle w:val="Hyperlink"/>
              </w:rPr>
              <w:t>5</w:t>
            </w:r>
            <w:r w:rsidR="00091763">
              <w:rPr>
                <w:rFonts w:asciiTheme="minorHAnsi" w:eastAsiaTheme="minorEastAsia" w:hAnsiTheme="minorHAnsi"/>
                <w:sz w:val="22"/>
                <w:lang w:eastAsia="en-GB"/>
              </w:rPr>
              <w:tab/>
            </w:r>
            <w:r w:rsidR="00091763" w:rsidRPr="00E90647">
              <w:rPr>
                <w:rStyle w:val="Hyperlink"/>
              </w:rPr>
              <w:t>Reporting perimeter and consolidation rules</w:t>
            </w:r>
            <w:r w:rsidR="00091763">
              <w:rPr>
                <w:webHidden/>
              </w:rPr>
              <w:tab/>
            </w:r>
            <w:r w:rsidR="00091763">
              <w:rPr>
                <w:webHidden/>
              </w:rPr>
              <w:fldChar w:fldCharType="begin"/>
            </w:r>
            <w:r w:rsidR="00091763">
              <w:rPr>
                <w:webHidden/>
              </w:rPr>
              <w:instrText xml:space="preserve"> PAGEREF _Toc97226717 \h </w:instrText>
            </w:r>
            <w:r w:rsidR="00091763">
              <w:rPr>
                <w:webHidden/>
              </w:rPr>
            </w:r>
            <w:r w:rsidR="00091763">
              <w:rPr>
                <w:webHidden/>
              </w:rPr>
              <w:fldChar w:fldCharType="separate"/>
            </w:r>
            <w:r w:rsidR="00D2642A">
              <w:rPr>
                <w:webHidden/>
              </w:rPr>
              <w:t>5</w:t>
            </w:r>
            <w:r w:rsidR="00091763">
              <w:rPr>
                <w:webHidden/>
              </w:rPr>
              <w:fldChar w:fldCharType="end"/>
            </w:r>
          </w:hyperlink>
        </w:p>
        <w:p w14:paraId="76921D94" w14:textId="45CF3E04" w:rsidR="00091763" w:rsidRDefault="00000000">
          <w:pPr>
            <w:pStyle w:val="TOC1"/>
            <w:tabs>
              <w:tab w:val="left" w:pos="440"/>
            </w:tabs>
            <w:rPr>
              <w:rFonts w:asciiTheme="minorHAnsi" w:eastAsiaTheme="minorEastAsia" w:hAnsiTheme="minorHAnsi"/>
              <w:sz w:val="22"/>
              <w:lang w:eastAsia="en-GB"/>
            </w:rPr>
          </w:pPr>
          <w:hyperlink w:anchor="_Toc97226718" w:history="1">
            <w:r w:rsidR="00091763" w:rsidRPr="00E90647">
              <w:rPr>
                <w:rStyle w:val="Hyperlink"/>
              </w:rPr>
              <w:t>6</w:t>
            </w:r>
            <w:r w:rsidR="00091763">
              <w:rPr>
                <w:rFonts w:asciiTheme="minorHAnsi" w:eastAsiaTheme="minorEastAsia" w:hAnsiTheme="minorHAnsi"/>
                <w:sz w:val="22"/>
                <w:lang w:eastAsia="en-GB"/>
              </w:rPr>
              <w:tab/>
            </w:r>
            <w:r w:rsidR="00091763" w:rsidRPr="00E90647">
              <w:rPr>
                <w:rStyle w:val="Hyperlink"/>
              </w:rPr>
              <w:t>Overview of OGCI indicators</w:t>
            </w:r>
            <w:r w:rsidR="00091763">
              <w:rPr>
                <w:webHidden/>
              </w:rPr>
              <w:tab/>
            </w:r>
            <w:r w:rsidR="00091763">
              <w:rPr>
                <w:webHidden/>
              </w:rPr>
              <w:fldChar w:fldCharType="begin"/>
            </w:r>
            <w:r w:rsidR="00091763">
              <w:rPr>
                <w:webHidden/>
              </w:rPr>
              <w:instrText xml:space="preserve"> PAGEREF _Toc97226718 \h </w:instrText>
            </w:r>
            <w:r w:rsidR="00091763">
              <w:rPr>
                <w:webHidden/>
              </w:rPr>
            </w:r>
            <w:r w:rsidR="00091763">
              <w:rPr>
                <w:webHidden/>
              </w:rPr>
              <w:fldChar w:fldCharType="separate"/>
            </w:r>
            <w:r w:rsidR="00D2642A">
              <w:rPr>
                <w:webHidden/>
              </w:rPr>
              <w:t>5</w:t>
            </w:r>
            <w:r w:rsidR="00091763">
              <w:rPr>
                <w:webHidden/>
              </w:rPr>
              <w:fldChar w:fldCharType="end"/>
            </w:r>
          </w:hyperlink>
        </w:p>
        <w:p w14:paraId="5E85B3F8" w14:textId="7EBE2A20" w:rsidR="00091763" w:rsidRDefault="00000000">
          <w:pPr>
            <w:pStyle w:val="TOC1"/>
            <w:tabs>
              <w:tab w:val="left" w:pos="440"/>
            </w:tabs>
            <w:rPr>
              <w:rFonts w:asciiTheme="minorHAnsi" w:eastAsiaTheme="minorEastAsia" w:hAnsiTheme="minorHAnsi"/>
              <w:sz w:val="22"/>
              <w:lang w:eastAsia="en-GB"/>
            </w:rPr>
          </w:pPr>
          <w:hyperlink w:anchor="_Toc97226719" w:history="1">
            <w:r w:rsidR="00091763" w:rsidRPr="00E90647">
              <w:rPr>
                <w:rStyle w:val="Hyperlink"/>
                <w:lang w:val="en-US"/>
              </w:rPr>
              <w:t>7</w:t>
            </w:r>
            <w:r w:rsidR="00091763">
              <w:rPr>
                <w:rFonts w:asciiTheme="minorHAnsi" w:eastAsiaTheme="minorEastAsia" w:hAnsiTheme="minorHAnsi"/>
                <w:sz w:val="22"/>
                <w:lang w:eastAsia="en-GB"/>
              </w:rPr>
              <w:tab/>
            </w:r>
            <w:r w:rsidR="00091763" w:rsidRPr="00E90647">
              <w:rPr>
                <w:rStyle w:val="Hyperlink"/>
                <w:lang w:val="en-US"/>
              </w:rPr>
              <w:t>Detailed description of OGCI indicators</w:t>
            </w:r>
            <w:r w:rsidR="00091763">
              <w:rPr>
                <w:webHidden/>
              </w:rPr>
              <w:tab/>
            </w:r>
            <w:r w:rsidR="00091763">
              <w:rPr>
                <w:webHidden/>
              </w:rPr>
              <w:fldChar w:fldCharType="begin"/>
            </w:r>
            <w:r w:rsidR="00091763">
              <w:rPr>
                <w:webHidden/>
              </w:rPr>
              <w:instrText xml:space="preserve"> PAGEREF _Toc97226719 \h </w:instrText>
            </w:r>
            <w:r w:rsidR="00091763">
              <w:rPr>
                <w:webHidden/>
              </w:rPr>
            </w:r>
            <w:r w:rsidR="00091763">
              <w:rPr>
                <w:webHidden/>
              </w:rPr>
              <w:fldChar w:fldCharType="separate"/>
            </w:r>
            <w:r w:rsidR="00D2642A">
              <w:rPr>
                <w:webHidden/>
              </w:rPr>
              <w:t>7</w:t>
            </w:r>
            <w:r w:rsidR="00091763">
              <w:rPr>
                <w:webHidden/>
              </w:rPr>
              <w:fldChar w:fldCharType="end"/>
            </w:r>
          </w:hyperlink>
        </w:p>
        <w:p w14:paraId="4A561F03" w14:textId="063F34EC" w:rsidR="00091763" w:rsidRDefault="00000000">
          <w:pPr>
            <w:pStyle w:val="TOC1"/>
            <w:tabs>
              <w:tab w:val="left" w:pos="440"/>
            </w:tabs>
            <w:rPr>
              <w:rFonts w:asciiTheme="minorHAnsi" w:eastAsiaTheme="minorEastAsia" w:hAnsiTheme="minorHAnsi"/>
              <w:sz w:val="22"/>
              <w:lang w:eastAsia="en-GB"/>
            </w:rPr>
          </w:pPr>
          <w:hyperlink w:anchor="_Toc97226720" w:history="1">
            <w:r w:rsidR="00091763" w:rsidRPr="00E90647">
              <w:rPr>
                <w:rStyle w:val="Hyperlink"/>
                <w:lang w:eastAsia="fr-FR"/>
              </w:rPr>
              <w:t>8</w:t>
            </w:r>
            <w:r w:rsidR="00091763">
              <w:rPr>
                <w:rFonts w:asciiTheme="minorHAnsi" w:eastAsiaTheme="minorEastAsia" w:hAnsiTheme="minorHAnsi"/>
                <w:sz w:val="22"/>
                <w:lang w:eastAsia="en-GB"/>
              </w:rPr>
              <w:tab/>
            </w:r>
            <w:r w:rsidR="00091763" w:rsidRPr="00E90647">
              <w:rPr>
                <w:rStyle w:val="Hyperlink"/>
                <w:lang w:eastAsia="fr-FR"/>
              </w:rPr>
              <w:t>Focus on the OGCI carbon intensity indicator</w:t>
            </w:r>
            <w:r w:rsidR="00091763">
              <w:rPr>
                <w:webHidden/>
              </w:rPr>
              <w:tab/>
            </w:r>
            <w:r w:rsidR="00091763">
              <w:rPr>
                <w:webHidden/>
              </w:rPr>
              <w:fldChar w:fldCharType="begin"/>
            </w:r>
            <w:r w:rsidR="00091763">
              <w:rPr>
                <w:webHidden/>
              </w:rPr>
              <w:instrText xml:space="preserve"> PAGEREF _Toc97226720 \h </w:instrText>
            </w:r>
            <w:r w:rsidR="00091763">
              <w:rPr>
                <w:webHidden/>
              </w:rPr>
            </w:r>
            <w:r w:rsidR="00091763">
              <w:rPr>
                <w:webHidden/>
              </w:rPr>
              <w:fldChar w:fldCharType="separate"/>
            </w:r>
            <w:r w:rsidR="00D2642A">
              <w:rPr>
                <w:webHidden/>
              </w:rPr>
              <w:t>12</w:t>
            </w:r>
            <w:r w:rsidR="00091763">
              <w:rPr>
                <w:webHidden/>
              </w:rPr>
              <w:fldChar w:fldCharType="end"/>
            </w:r>
          </w:hyperlink>
        </w:p>
        <w:p w14:paraId="64F0A1D6" w14:textId="13EC20D6" w:rsidR="00091763" w:rsidRDefault="00000000">
          <w:pPr>
            <w:pStyle w:val="TOC1"/>
            <w:tabs>
              <w:tab w:val="left" w:pos="440"/>
            </w:tabs>
            <w:rPr>
              <w:rFonts w:asciiTheme="minorHAnsi" w:eastAsiaTheme="minorEastAsia" w:hAnsiTheme="minorHAnsi"/>
              <w:sz w:val="22"/>
              <w:lang w:eastAsia="en-GB"/>
            </w:rPr>
          </w:pPr>
          <w:hyperlink w:anchor="_Toc97226721" w:history="1">
            <w:r w:rsidR="00091763" w:rsidRPr="00E90647">
              <w:rPr>
                <w:rStyle w:val="Hyperlink"/>
                <w:lang w:eastAsia="fr-FR"/>
              </w:rPr>
              <w:t>9</w:t>
            </w:r>
            <w:r w:rsidR="00091763">
              <w:rPr>
                <w:rFonts w:asciiTheme="minorHAnsi" w:eastAsiaTheme="minorEastAsia" w:hAnsiTheme="minorHAnsi"/>
                <w:sz w:val="22"/>
                <w:lang w:eastAsia="en-GB"/>
              </w:rPr>
              <w:tab/>
            </w:r>
            <w:r w:rsidR="00091763" w:rsidRPr="00E90647">
              <w:rPr>
                <w:rStyle w:val="Hyperlink"/>
                <w:lang w:eastAsia="fr-FR"/>
              </w:rPr>
              <w:t>Focus on the OGCI methane intensity indicator</w:t>
            </w:r>
            <w:r w:rsidR="00091763">
              <w:rPr>
                <w:webHidden/>
              </w:rPr>
              <w:tab/>
            </w:r>
            <w:r w:rsidR="00091763">
              <w:rPr>
                <w:webHidden/>
              </w:rPr>
              <w:fldChar w:fldCharType="begin"/>
            </w:r>
            <w:r w:rsidR="00091763">
              <w:rPr>
                <w:webHidden/>
              </w:rPr>
              <w:instrText xml:space="preserve"> PAGEREF _Toc97226721 \h </w:instrText>
            </w:r>
            <w:r w:rsidR="00091763">
              <w:rPr>
                <w:webHidden/>
              </w:rPr>
            </w:r>
            <w:r w:rsidR="00091763">
              <w:rPr>
                <w:webHidden/>
              </w:rPr>
              <w:fldChar w:fldCharType="separate"/>
            </w:r>
            <w:r w:rsidR="00D2642A">
              <w:rPr>
                <w:webHidden/>
              </w:rPr>
              <w:t>16</w:t>
            </w:r>
            <w:r w:rsidR="00091763">
              <w:rPr>
                <w:webHidden/>
              </w:rPr>
              <w:fldChar w:fldCharType="end"/>
            </w:r>
          </w:hyperlink>
        </w:p>
        <w:p w14:paraId="7E7D7038" w14:textId="2EEE5B81" w:rsidR="00091763" w:rsidRDefault="00000000">
          <w:pPr>
            <w:pStyle w:val="TOC1"/>
            <w:rPr>
              <w:rFonts w:asciiTheme="minorHAnsi" w:eastAsiaTheme="minorEastAsia" w:hAnsiTheme="minorHAnsi"/>
              <w:sz w:val="22"/>
              <w:lang w:eastAsia="en-GB"/>
            </w:rPr>
          </w:pPr>
          <w:hyperlink w:anchor="_Toc97226722" w:history="1">
            <w:r w:rsidR="00091763" w:rsidRPr="00E90647">
              <w:rPr>
                <w:rStyle w:val="Hyperlink"/>
                <w:lang w:eastAsia="fr-FR"/>
              </w:rPr>
              <w:t>Appendix A – Acronyms and abbreviations</w:t>
            </w:r>
            <w:r w:rsidR="00091763">
              <w:rPr>
                <w:webHidden/>
              </w:rPr>
              <w:tab/>
            </w:r>
            <w:r w:rsidR="00091763">
              <w:rPr>
                <w:webHidden/>
              </w:rPr>
              <w:fldChar w:fldCharType="begin"/>
            </w:r>
            <w:r w:rsidR="00091763">
              <w:rPr>
                <w:webHidden/>
              </w:rPr>
              <w:instrText xml:space="preserve"> PAGEREF _Toc97226722 \h </w:instrText>
            </w:r>
            <w:r w:rsidR="00091763">
              <w:rPr>
                <w:webHidden/>
              </w:rPr>
            </w:r>
            <w:r w:rsidR="00091763">
              <w:rPr>
                <w:webHidden/>
              </w:rPr>
              <w:fldChar w:fldCharType="separate"/>
            </w:r>
            <w:r w:rsidR="00D2642A">
              <w:rPr>
                <w:webHidden/>
              </w:rPr>
              <w:t>19</w:t>
            </w:r>
            <w:r w:rsidR="00091763">
              <w:rPr>
                <w:webHidden/>
              </w:rPr>
              <w:fldChar w:fldCharType="end"/>
            </w:r>
          </w:hyperlink>
        </w:p>
        <w:p w14:paraId="2D47209C" w14:textId="6C345C4F" w:rsidR="00091763" w:rsidRDefault="00000000">
          <w:pPr>
            <w:pStyle w:val="TOC1"/>
            <w:rPr>
              <w:rFonts w:asciiTheme="minorHAnsi" w:eastAsiaTheme="minorEastAsia" w:hAnsiTheme="minorHAnsi"/>
              <w:sz w:val="22"/>
              <w:lang w:eastAsia="en-GB"/>
            </w:rPr>
          </w:pPr>
          <w:hyperlink w:anchor="_Toc97226723" w:history="1">
            <w:r w:rsidR="00091763" w:rsidRPr="00E90647">
              <w:rPr>
                <w:rStyle w:val="Hyperlink"/>
                <w:lang w:eastAsia="fr-FR"/>
              </w:rPr>
              <w:t>Appendix B – Calculation and conversion factors</w:t>
            </w:r>
            <w:r w:rsidR="00091763">
              <w:rPr>
                <w:webHidden/>
              </w:rPr>
              <w:tab/>
            </w:r>
            <w:r w:rsidR="00091763">
              <w:rPr>
                <w:webHidden/>
              </w:rPr>
              <w:fldChar w:fldCharType="begin"/>
            </w:r>
            <w:r w:rsidR="00091763">
              <w:rPr>
                <w:webHidden/>
              </w:rPr>
              <w:instrText xml:space="preserve"> PAGEREF _Toc97226723 \h </w:instrText>
            </w:r>
            <w:r w:rsidR="00091763">
              <w:rPr>
                <w:webHidden/>
              </w:rPr>
            </w:r>
            <w:r w:rsidR="00091763">
              <w:rPr>
                <w:webHidden/>
              </w:rPr>
              <w:fldChar w:fldCharType="separate"/>
            </w:r>
            <w:r w:rsidR="00D2642A">
              <w:rPr>
                <w:webHidden/>
              </w:rPr>
              <w:t>20</w:t>
            </w:r>
            <w:r w:rsidR="00091763">
              <w:rPr>
                <w:webHidden/>
              </w:rPr>
              <w:fldChar w:fldCharType="end"/>
            </w:r>
          </w:hyperlink>
        </w:p>
        <w:p w14:paraId="1CBADBB6" w14:textId="2D194996" w:rsidR="00091763" w:rsidRDefault="00000000">
          <w:pPr>
            <w:pStyle w:val="TOC1"/>
            <w:rPr>
              <w:rFonts w:asciiTheme="minorHAnsi" w:eastAsiaTheme="minorEastAsia" w:hAnsiTheme="minorHAnsi"/>
              <w:sz w:val="22"/>
              <w:lang w:eastAsia="en-GB"/>
            </w:rPr>
          </w:pPr>
          <w:hyperlink w:anchor="_Toc97226724" w:history="1">
            <w:r w:rsidR="00091763" w:rsidRPr="00E90647">
              <w:rPr>
                <w:rStyle w:val="Hyperlink"/>
                <w:lang w:eastAsia="fr-FR"/>
              </w:rPr>
              <w:t>Appendix C – Methodologies and guidance for estimating GHG emissions</w:t>
            </w:r>
            <w:r w:rsidR="00091763">
              <w:rPr>
                <w:webHidden/>
              </w:rPr>
              <w:tab/>
            </w:r>
            <w:r w:rsidR="00091763">
              <w:rPr>
                <w:webHidden/>
              </w:rPr>
              <w:fldChar w:fldCharType="begin"/>
            </w:r>
            <w:r w:rsidR="00091763">
              <w:rPr>
                <w:webHidden/>
              </w:rPr>
              <w:instrText xml:space="preserve"> PAGEREF _Toc97226724 \h </w:instrText>
            </w:r>
            <w:r w:rsidR="00091763">
              <w:rPr>
                <w:webHidden/>
              </w:rPr>
            </w:r>
            <w:r w:rsidR="00091763">
              <w:rPr>
                <w:webHidden/>
              </w:rPr>
              <w:fldChar w:fldCharType="separate"/>
            </w:r>
            <w:r w:rsidR="00D2642A">
              <w:rPr>
                <w:webHidden/>
              </w:rPr>
              <w:t>21</w:t>
            </w:r>
            <w:r w:rsidR="00091763">
              <w:rPr>
                <w:webHidden/>
              </w:rPr>
              <w:fldChar w:fldCharType="end"/>
            </w:r>
          </w:hyperlink>
        </w:p>
        <w:p w14:paraId="4CC56B13" w14:textId="3F91735C" w:rsidR="00F66C91" w:rsidRDefault="000A30A9" w:rsidP="00185541">
          <w:pPr>
            <w:rPr>
              <w:rFonts w:ascii="Calibri Light" w:eastAsia="Times New Roman" w:hAnsi="Calibri Light" w:cs="Calibri Light"/>
              <w:szCs w:val="20"/>
              <w:lang w:eastAsia="fr-FR"/>
            </w:rPr>
          </w:pPr>
          <w:r>
            <w:rPr>
              <w:rFonts w:ascii="Calibri Light" w:eastAsia="Times New Roman" w:hAnsi="Calibri Light" w:cs="Calibri Light"/>
              <w:szCs w:val="20"/>
              <w:lang w:eastAsia="fr-FR"/>
            </w:rPr>
            <w:fldChar w:fldCharType="end"/>
          </w:r>
        </w:p>
        <w:p w14:paraId="23D6479A" w14:textId="2A59A96C" w:rsidR="00DF07AE" w:rsidRDefault="00000000" w:rsidP="00185541">
          <w:pPr>
            <w:rPr>
              <w:rFonts w:ascii="Calibri" w:eastAsia="Times New Roman" w:hAnsi="Calibri" w:cs="Times New Roman"/>
              <w:szCs w:val="20"/>
              <w:lang w:eastAsia="fr-FR"/>
            </w:rPr>
          </w:pPr>
        </w:p>
      </w:sdtContent>
    </w:sdt>
    <w:p w14:paraId="4F5BDBCF" w14:textId="6920A13B" w:rsidR="00185541" w:rsidRPr="00342DFA" w:rsidRDefault="00185541" w:rsidP="00185541">
      <w:pPr>
        <w:rPr>
          <w:rFonts w:ascii="Calibri" w:eastAsia="Times New Roman" w:hAnsi="Calibri" w:cs="Times New Roman"/>
          <w:szCs w:val="20"/>
          <w:lang w:eastAsia="fr-FR"/>
        </w:rPr>
      </w:pPr>
      <w:r w:rsidRPr="00342DFA">
        <w:rPr>
          <w:rFonts w:ascii="Calibri" w:eastAsia="Times New Roman" w:hAnsi="Calibri" w:cs="Times New Roman"/>
          <w:szCs w:val="20"/>
          <w:lang w:eastAsia="fr-FR"/>
        </w:rPr>
        <w:br w:type="page"/>
      </w:r>
    </w:p>
    <w:p w14:paraId="120C6D5E" w14:textId="4A31306A" w:rsidR="00185541" w:rsidRPr="00ED321B" w:rsidRDefault="00185541" w:rsidP="005C77BD">
      <w:pPr>
        <w:pStyle w:val="Heading1"/>
      </w:pPr>
      <w:bookmarkStart w:id="0" w:name="_Toc97226713"/>
      <w:r w:rsidRPr="005C77BD">
        <w:lastRenderedPageBreak/>
        <w:t>Introduction</w:t>
      </w:r>
      <w:bookmarkEnd w:id="0"/>
    </w:p>
    <w:p w14:paraId="01CC6879" w14:textId="0A1D7CA0" w:rsidR="007F0B8E" w:rsidRPr="00B07C95" w:rsidRDefault="004B43A0" w:rsidP="00C150C0">
      <w:pPr>
        <w:rPr>
          <w:lang w:eastAsia="fr-FR"/>
        </w:rPr>
      </w:pPr>
      <w:r>
        <w:rPr>
          <w:lang w:eastAsia="fr-FR"/>
        </w:rPr>
        <w:t>As part of its</w:t>
      </w:r>
      <w:r w:rsidR="007F0B8E" w:rsidRPr="00B07C95">
        <w:rPr>
          <w:lang w:eastAsia="fr-FR"/>
        </w:rPr>
        <w:t xml:space="preserve"> mission and declarations, </w:t>
      </w:r>
      <w:r>
        <w:rPr>
          <w:lang w:eastAsia="fr-FR"/>
        </w:rPr>
        <w:t xml:space="preserve">OGCI has committed to provide and </w:t>
      </w:r>
      <w:r w:rsidR="007F0B8E" w:rsidRPr="00B07C95">
        <w:rPr>
          <w:lang w:eastAsia="fr-FR"/>
        </w:rPr>
        <w:t xml:space="preserve">communicate </w:t>
      </w:r>
      <w:r w:rsidR="00F45731">
        <w:rPr>
          <w:lang w:eastAsia="fr-FR"/>
        </w:rPr>
        <w:t>adequate</w:t>
      </w:r>
      <w:r w:rsidR="007F0B8E" w:rsidRPr="00B07C95">
        <w:rPr>
          <w:lang w:eastAsia="fr-FR"/>
        </w:rPr>
        <w:t xml:space="preserve"> quantitative</w:t>
      </w:r>
      <w:r w:rsidR="00F45731">
        <w:rPr>
          <w:lang w:eastAsia="fr-FR"/>
        </w:rPr>
        <w:t xml:space="preserve"> and </w:t>
      </w:r>
      <w:r w:rsidR="007F0B8E" w:rsidRPr="00B07C95">
        <w:rPr>
          <w:lang w:eastAsia="fr-FR"/>
        </w:rPr>
        <w:t>qualitative information</w:t>
      </w:r>
      <w:r>
        <w:rPr>
          <w:lang w:eastAsia="fr-FR"/>
        </w:rPr>
        <w:t xml:space="preserve"> about the progress its member companies are making against </w:t>
      </w:r>
      <w:r w:rsidR="007F0B8E" w:rsidRPr="00B07C95">
        <w:rPr>
          <w:lang w:eastAsia="fr-FR"/>
        </w:rPr>
        <w:t>OGCI public commitment</w:t>
      </w:r>
      <w:r>
        <w:rPr>
          <w:lang w:eastAsia="fr-FR"/>
        </w:rPr>
        <w:t>s</w:t>
      </w:r>
      <w:r w:rsidR="00F45731">
        <w:rPr>
          <w:lang w:eastAsia="fr-FR"/>
        </w:rPr>
        <w:t xml:space="preserve"> and </w:t>
      </w:r>
      <w:r w:rsidR="007F0B8E" w:rsidRPr="00B07C95">
        <w:rPr>
          <w:lang w:eastAsia="fr-FR"/>
        </w:rPr>
        <w:t>declaration</w:t>
      </w:r>
      <w:r>
        <w:rPr>
          <w:lang w:eastAsia="fr-FR"/>
        </w:rPr>
        <w:t>s</w:t>
      </w:r>
      <w:r w:rsidR="007F0B8E" w:rsidRPr="00B07C95">
        <w:rPr>
          <w:lang w:eastAsia="fr-FR"/>
        </w:rPr>
        <w:t>.</w:t>
      </w:r>
    </w:p>
    <w:p w14:paraId="19D09BB6" w14:textId="74799C4E" w:rsidR="007F0B8E" w:rsidRPr="00B07C95" w:rsidRDefault="007F0B8E" w:rsidP="00C150C0">
      <w:pPr>
        <w:rPr>
          <w:lang w:eastAsia="fr-FR"/>
        </w:rPr>
      </w:pPr>
      <w:r w:rsidRPr="00B07C95">
        <w:rPr>
          <w:lang w:eastAsia="fr-FR"/>
        </w:rPr>
        <w:t>The credibility of messages brought forward by OGCI in its reporting rely largely on members’ capacity to illustrate their action</w:t>
      </w:r>
      <w:r w:rsidR="00F45731">
        <w:rPr>
          <w:lang w:eastAsia="fr-FR"/>
        </w:rPr>
        <w:t>s</w:t>
      </w:r>
      <w:r w:rsidRPr="00B07C95">
        <w:rPr>
          <w:lang w:eastAsia="fr-FR"/>
        </w:rPr>
        <w:t xml:space="preserve"> with data that </w:t>
      </w:r>
      <w:r w:rsidR="00570A7F">
        <w:rPr>
          <w:lang w:eastAsia="fr-FR"/>
        </w:rPr>
        <w:t>is</w:t>
      </w:r>
      <w:r w:rsidR="00570A7F" w:rsidRPr="00B07C95">
        <w:rPr>
          <w:lang w:eastAsia="fr-FR"/>
        </w:rPr>
        <w:t xml:space="preserve"> </w:t>
      </w:r>
      <w:r w:rsidRPr="00B07C95">
        <w:rPr>
          <w:lang w:eastAsia="fr-FR"/>
        </w:rPr>
        <w:t>reported and aggregated according to shared guidance and processes.</w:t>
      </w:r>
    </w:p>
    <w:p w14:paraId="72F25FF8" w14:textId="48D0A9A5" w:rsidR="00185541" w:rsidRPr="00342DFA" w:rsidRDefault="00185541" w:rsidP="00C150C0">
      <w:pPr>
        <w:rPr>
          <w:lang w:eastAsia="fr-FR"/>
        </w:rPr>
      </w:pPr>
      <w:r w:rsidRPr="00342DFA">
        <w:rPr>
          <w:lang w:eastAsia="fr-FR"/>
        </w:rPr>
        <w:t xml:space="preserve">The </w:t>
      </w:r>
      <w:r w:rsidR="007F0B8E" w:rsidRPr="00AA3F98">
        <w:rPr>
          <w:bCs/>
          <w:i/>
          <w:lang w:eastAsia="fr-FR"/>
        </w:rPr>
        <w:t>OGCI Reporting Framework</w:t>
      </w:r>
      <w:r w:rsidR="007F0B8E" w:rsidRPr="00342DFA">
        <w:rPr>
          <w:i/>
          <w:lang w:eastAsia="fr-FR"/>
        </w:rPr>
        <w:t xml:space="preserve"> </w:t>
      </w:r>
      <w:r w:rsidRPr="00342DFA">
        <w:rPr>
          <w:lang w:eastAsia="fr-FR"/>
        </w:rPr>
        <w:t>provide</w:t>
      </w:r>
      <w:r w:rsidR="004B43A0">
        <w:rPr>
          <w:lang w:eastAsia="fr-FR"/>
        </w:rPr>
        <w:t>s</w:t>
      </w:r>
      <w:r w:rsidRPr="00342DFA">
        <w:rPr>
          <w:lang w:eastAsia="fr-FR"/>
        </w:rPr>
        <w:t xml:space="preserve"> </w:t>
      </w:r>
      <w:r w:rsidR="008E376B" w:rsidRPr="00342DFA">
        <w:rPr>
          <w:lang w:eastAsia="fr-FR"/>
        </w:rPr>
        <w:t xml:space="preserve">OGCI </w:t>
      </w:r>
      <w:r w:rsidRPr="00342DFA">
        <w:rPr>
          <w:lang w:eastAsia="fr-FR"/>
        </w:rPr>
        <w:t xml:space="preserve">members with guidance on the </w:t>
      </w:r>
      <w:r w:rsidR="007F0B8E" w:rsidRPr="00342DFA">
        <w:rPr>
          <w:lang w:eastAsia="fr-FR"/>
        </w:rPr>
        <w:t>key indicators to be reported yearly</w:t>
      </w:r>
      <w:r w:rsidRPr="00342DFA">
        <w:rPr>
          <w:lang w:eastAsia="fr-FR"/>
        </w:rPr>
        <w:t xml:space="preserve">. </w:t>
      </w:r>
      <w:r w:rsidR="004B43A0">
        <w:rPr>
          <w:lang w:eastAsia="fr-FR"/>
        </w:rPr>
        <w:t>A</w:t>
      </w:r>
      <w:r w:rsidRPr="00342DFA">
        <w:rPr>
          <w:lang w:eastAsia="fr-FR"/>
        </w:rPr>
        <w:t xml:space="preserve">ppendices include </w:t>
      </w:r>
      <w:r w:rsidR="004B43A0">
        <w:rPr>
          <w:lang w:eastAsia="fr-FR"/>
        </w:rPr>
        <w:t>additional guidance on specific GHG emissions reporting topics</w:t>
      </w:r>
      <w:r w:rsidRPr="00342DFA">
        <w:rPr>
          <w:lang w:eastAsia="fr-FR"/>
        </w:rPr>
        <w:t>.</w:t>
      </w:r>
      <w:r w:rsidR="007340C3">
        <w:rPr>
          <w:lang w:eastAsia="fr-FR"/>
        </w:rPr>
        <w:t xml:space="preserve"> </w:t>
      </w:r>
    </w:p>
    <w:p w14:paraId="5758AF8B" w14:textId="6245B8C6" w:rsidR="007F0B8E" w:rsidRPr="00342DFA" w:rsidRDefault="004B43A0" w:rsidP="00C150C0">
      <w:pPr>
        <w:rPr>
          <w:rFonts w:ascii="Calibri" w:eastAsia="Times New Roman" w:hAnsi="Calibri" w:cs="Times New Roman"/>
          <w:szCs w:val="20"/>
          <w:lang w:eastAsia="fr-FR"/>
        </w:rPr>
      </w:pPr>
      <w:r>
        <w:t xml:space="preserve">This </w:t>
      </w:r>
      <w:r w:rsidR="007F0B8E" w:rsidRPr="00C150C0">
        <w:t xml:space="preserve">framework </w:t>
      </w:r>
      <w:r w:rsidR="005C794C">
        <w:t>documents</w:t>
      </w:r>
      <w:r w:rsidR="00FA7C51" w:rsidRPr="00C150C0">
        <w:t xml:space="preserve"> a common approach in terms of boundary and definition, </w:t>
      </w:r>
      <w:r w:rsidR="00C606E4">
        <w:t xml:space="preserve">relying on the basis </w:t>
      </w:r>
      <w:r w:rsidR="00FA7C51" w:rsidRPr="00C150C0">
        <w:t xml:space="preserve">that OGCI companies already use the most reliable </w:t>
      </w:r>
      <w:r w:rsidR="00F45731" w:rsidRPr="00C150C0">
        <w:t>publicly</w:t>
      </w:r>
      <w:r w:rsidR="007F0B8E" w:rsidRPr="00C150C0">
        <w:t xml:space="preserve"> available guidance </w:t>
      </w:r>
      <w:r w:rsidR="00FA7C51" w:rsidRPr="00C150C0">
        <w:t xml:space="preserve">for the </w:t>
      </w:r>
      <w:r w:rsidR="00F45731" w:rsidRPr="00C150C0">
        <w:t>o</w:t>
      </w:r>
      <w:r w:rsidR="00FA7C51" w:rsidRPr="00C150C0">
        <w:t xml:space="preserve">il and </w:t>
      </w:r>
      <w:r w:rsidR="00F45731" w:rsidRPr="00C150C0">
        <w:t>g</w:t>
      </w:r>
      <w:r w:rsidR="00FA7C51" w:rsidRPr="00C150C0">
        <w:t xml:space="preserve">as </w:t>
      </w:r>
      <w:r w:rsidR="00F45731" w:rsidRPr="00C150C0">
        <w:t>s</w:t>
      </w:r>
      <w:r w:rsidR="00FA7C51" w:rsidRPr="00C150C0">
        <w:t>ector.</w:t>
      </w:r>
      <w:r w:rsidR="00FA7C51" w:rsidRPr="00342DFA">
        <w:rPr>
          <w:rFonts w:ascii="Calibri" w:eastAsia="Times New Roman" w:hAnsi="Calibri" w:cs="Times New Roman"/>
          <w:szCs w:val="20"/>
          <w:lang w:eastAsia="fr-FR"/>
        </w:rPr>
        <w:t xml:space="preserve"> These include, but are not limited to, guidance and methodologies developed by</w:t>
      </w:r>
      <w:r w:rsidR="007F0B8E" w:rsidRPr="00342DFA">
        <w:rPr>
          <w:rFonts w:ascii="Calibri" w:eastAsia="Times New Roman" w:hAnsi="Calibri" w:cs="Times New Roman"/>
          <w:szCs w:val="20"/>
          <w:lang w:eastAsia="fr-FR"/>
        </w:rPr>
        <w:t xml:space="preserve"> IPCC, GRI, UN, World Bank, WBCSD, CCAC, </w:t>
      </w:r>
      <w:r w:rsidR="00FA7C51" w:rsidRPr="00342DFA">
        <w:rPr>
          <w:rFonts w:ascii="Calibri" w:eastAsia="Times New Roman" w:hAnsi="Calibri" w:cs="Times New Roman"/>
          <w:szCs w:val="20"/>
          <w:lang w:eastAsia="fr-FR"/>
        </w:rPr>
        <w:t>I</w:t>
      </w:r>
      <w:r w:rsidR="007F0B8E" w:rsidRPr="00342DFA">
        <w:rPr>
          <w:rFonts w:ascii="Calibri" w:eastAsia="Times New Roman" w:hAnsi="Calibri" w:cs="Times New Roman"/>
          <w:szCs w:val="20"/>
          <w:lang w:eastAsia="fr-FR"/>
        </w:rPr>
        <w:t xml:space="preserve">PIECA, </w:t>
      </w:r>
      <w:r w:rsidR="00A635FE">
        <w:rPr>
          <w:rFonts w:ascii="Calibri" w:eastAsia="Times New Roman" w:hAnsi="Calibri" w:cs="Times New Roman"/>
          <w:szCs w:val="20"/>
          <w:lang w:eastAsia="fr-FR"/>
        </w:rPr>
        <w:t>I</w:t>
      </w:r>
      <w:r w:rsidR="007F0B8E" w:rsidRPr="00342DFA">
        <w:rPr>
          <w:rFonts w:ascii="Calibri" w:eastAsia="Times New Roman" w:hAnsi="Calibri" w:cs="Times New Roman"/>
          <w:szCs w:val="20"/>
          <w:lang w:eastAsia="fr-FR"/>
        </w:rPr>
        <w:t>OGP and API.</w:t>
      </w:r>
    </w:p>
    <w:p w14:paraId="0927CE10" w14:textId="3E4963C6" w:rsidR="001954C4" w:rsidRPr="00B07C95" w:rsidRDefault="00185541" w:rsidP="001F5AF9">
      <w:pPr>
        <w:pStyle w:val="Heading1"/>
      </w:pPr>
      <w:bookmarkStart w:id="1" w:name="_Toc97226714"/>
      <w:r w:rsidRPr="00B07C95">
        <w:t>General principles</w:t>
      </w:r>
      <w:r w:rsidR="00854A45" w:rsidRPr="00B07C95">
        <w:t xml:space="preserve"> </w:t>
      </w:r>
      <w:r w:rsidR="00C23EE7">
        <w:t>of reporting</w:t>
      </w:r>
      <w:bookmarkEnd w:id="1"/>
    </w:p>
    <w:p w14:paraId="5718F962" w14:textId="654085D7" w:rsidR="004268CF" w:rsidRPr="00342DFA" w:rsidRDefault="001954C4" w:rsidP="00C150C0">
      <w:pPr>
        <w:rPr>
          <w:lang w:eastAsia="fr-FR"/>
        </w:rPr>
      </w:pPr>
      <w:r w:rsidRPr="00342DFA">
        <w:rPr>
          <w:lang w:eastAsia="fr-FR"/>
        </w:rPr>
        <w:t xml:space="preserve">The </w:t>
      </w:r>
      <w:r w:rsidR="00854A45" w:rsidRPr="00342DFA">
        <w:rPr>
          <w:lang w:eastAsia="fr-FR"/>
        </w:rPr>
        <w:t xml:space="preserve">OGCI data </w:t>
      </w:r>
      <w:r w:rsidRPr="00342DFA">
        <w:rPr>
          <w:lang w:eastAsia="fr-FR"/>
        </w:rPr>
        <w:t xml:space="preserve">reporting </w:t>
      </w:r>
      <w:r w:rsidR="00854A45" w:rsidRPr="00342DFA">
        <w:rPr>
          <w:lang w:eastAsia="fr-FR"/>
        </w:rPr>
        <w:t xml:space="preserve">process consists </w:t>
      </w:r>
      <w:r w:rsidR="00F45731">
        <w:rPr>
          <w:lang w:eastAsia="fr-FR"/>
        </w:rPr>
        <w:t>of</w:t>
      </w:r>
      <w:r w:rsidR="00854A45" w:rsidRPr="00342DFA">
        <w:rPr>
          <w:lang w:eastAsia="fr-FR"/>
        </w:rPr>
        <w:t xml:space="preserve"> the collection </w:t>
      </w:r>
      <w:r w:rsidR="00C606E4">
        <w:rPr>
          <w:lang w:eastAsia="fr-FR"/>
        </w:rPr>
        <w:t xml:space="preserve">of individual OGCI member company information </w:t>
      </w:r>
      <w:r w:rsidR="00854A45" w:rsidRPr="00342DFA">
        <w:rPr>
          <w:lang w:eastAsia="fr-FR"/>
        </w:rPr>
        <w:t xml:space="preserve">and aggregation of </w:t>
      </w:r>
      <w:r w:rsidR="00C606E4">
        <w:rPr>
          <w:lang w:eastAsia="fr-FR"/>
        </w:rPr>
        <w:t>th</w:t>
      </w:r>
      <w:r w:rsidR="00570A7F">
        <w:rPr>
          <w:lang w:eastAsia="fr-FR"/>
        </w:rPr>
        <w:t xml:space="preserve">is set of </w:t>
      </w:r>
      <w:r w:rsidR="00C606E4">
        <w:rPr>
          <w:lang w:eastAsia="fr-FR"/>
        </w:rPr>
        <w:t xml:space="preserve">data into </w:t>
      </w:r>
      <w:r w:rsidR="00854A45" w:rsidRPr="00342DFA">
        <w:rPr>
          <w:lang w:eastAsia="fr-FR"/>
        </w:rPr>
        <w:t xml:space="preserve">key indicators relevant for tracking OGCI performance </w:t>
      </w:r>
      <w:r w:rsidR="00C606E4">
        <w:rPr>
          <w:lang w:eastAsia="fr-FR"/>
        </w:rPr>
        <w:t>and progress against the public commitments made by OGCI</w:t>
      </w:r>
      <w:r w:rsidR="00854A45" w:rsidRPr="00342DFA">
        <w:rPr>
          <w:lang w:eastAsia="fr-FR"/>
        </w:rPr>
        <w:t xml:space="preserve">. </w:t>
      </w:r>
      <w:r w:rsidR="008C7429" w:rsidRPr="00342DFA">
        <w:rPr>
          <w:lang w:eastAsia="fr-FR"/>
        </w:rPr>
        <w:t xml:space="preserve">The indicators selected by OGCI companies are aggregated </w:t>
      </w:r>
      <w:proofErr w:type="gramStart"/>
      <w:r w:rsidR="008C7429" w:rsidRPr="00342DFA">
        <w:rPr>
          <w:lang w:eastAsia="fr-FR"/>
        </w:rPr>
        <w:t>in order to</w:t>
      </w:r>
      <w:proofErr w:type="gramEnd"/>
      <w:r w:rsidR="008C7429" w:rsidRPr="00342DFA">
        <w:rPr>
          <w:lang w:eastAsia="fr-FR"/>
        </w:rPr>
        <w:t xml:space="preserve"> </w:t>
      </w:r>
      <w:r w:rsidR="00EA722E">
        <w:rPr>
          <w:lang w:eastAsia="fr-FR"/>
        </w:rPr>
        <w:t>reflect</w:t>
      </w:r>
      <w:r w:rsidR="008C7429" w:rsidRPr="00342DFA">
        <w:rPr>
          <w:lang w:eastAsia="fr-FR"/>
        </w:rPr>
        <w:t xml:space="preserve"> specific OGCI figures to be published externally. </w:t>
      </w:r>
      <w:r w:rsidR="00C606E4">
        <w:rPr>
          <w:lang w:eastAsia="fr-FR"/>
        </w:rPr>
        <w:t>OGCI members provide data that conform</w:t>
      </w:r>
      <w:r w:rsidR="003B4F95">
        <w:rPr>
          <w:lang w:eastAsia="fr-FR"/>
        </w:rPr>
        <w:t>s</w:t>
      </w:r>
      <w:r w:rsidR="00C606E4">
        <w:rPr>
          <w:lang w:eastAsia="fr-FR"/>
        </w:rPr>
        <w:t xml:space="preserve"> to the following</w:t>
      </w:r>
      <w:r w:rsidR="004268CF" w:rsidRPr="00342DFA">
        <w:rPr>
          <w:lang w:eastAsia="fr-FR"/>
        </w:rPr>
        <w:t>:</w:t>
      </w:r>
    </w:p>
    <w:p w14:paraId="2BA8651D" w14:textId="1C1C4B69" w:rsidR="00C23EE7" w:rsidRPr="00C23EE7" w:rsidRDefault="004268CF" w:rsidP="0035559C">
      <w:pPr>
        <w:pStyle w:val="ListParagraph"/>
        <w:numPr>
          <w:ilvl w:val="0"/>
          <w:numId w:val="10"/>
        </w:numPr>
        <w:ind w:left="714" w:hanging="357"/>
        <w:contextualSpacing w:val="0"/>
        <w:rPr>
          <w:rFonts w:ascii="Calibri" w:eastAsia="Times New Roman" w:hAnsi="Calibri" w:cs="Times New Roman"/>
          <w:szCs w:val="20"/>
          <w:lang w:eastAsia="fr-FR"/>
        </w:rPr>
      </w:pPr>
      <w:r w:rsidRPr="00C23EE7">
        <w:rPr>
          <w:b/>
          <w:bCs/>
          <w:lang w:eastAsia="fr-FR"/>
        </w:rPr>
        <w:t>Transparency</w:t>
      </w:r>
      <w:r w:rsidR="00C23EE7">
        <w:rPr>
          <w:lang w:eastAsia="fr-FR"/>
        </w:rPr>
        <w:t xml:space="preserve">: </w:t>
      </w:r>
      <w:r w:rsidR="00C23EE7" w:rsidRPr="00C23EE7">
        <w:rPr>
          <w:rFonts w:ascii="Calibri" w:eastAsia="Times New Roman" w:hAnsi="Calibri" w:cs="Times New Roman"/>
          <w:szCs w:val="20"/>
          <w:lang w:eastAsia="fr-FR"/>
        </w:rPr>
        <w:t xml:space="preserve">the assumptions and methodologies used for reporting should be clearly explained to facilitate replication and assessment of the reporting by </w:t>
      </w:r>
      <w:r w:rsidR="00752809">
        <w:rPr>
          <w:rFonts w:ascii="Calibri" w:eastAsia="Times New Roman" w:hAnsi="Calibri" w:cs="Times New Roman"/>
          <w:szCs w:val="20"/>
          <w:lang w:eastAsia="fr-FR"/>
        </w:rPr>
        <w:t>the individual member companies</w:t>
      </w:r>
      <w:r w:rsidR="00C23EE7" w:rsidRPr="00C23EE7">
        <w:rPr>
          <w:rFonts w:ascii="Calibri" w:eastAsia="Times New Roman" w:hAnsi="Calibri" w:cs="Times New Roman"/>
          <w:szCs w:val="20"/>
          <w:lang w:eastAsia="fr-FR"/>
        </w:rPr>
        <w:t xml:space="preserve">. Records should be kept adequately </w:t>
      </w:r>
      <w:proofErr w:type="gramStart"/>
      <w:r w:rsidR="00C23EE7" w:rsidRPr="00C23EE7">
        <w:rPr>
          <w:rFonts w:ascii="Calibri" w:eastAsia="Times New Roman" w:hAnsi="Calibri" w:cs="Times New Roman"/>
          <w:szCs w:val="20"/>
          <w:lang w:eastAsia="fr-FR"/>
        </w:rPr>
        <w:t>in order to</w:t>
      </w:r>
      <w:proofErr w:type="gramEnd"/>
      <w:r w:rsidR="00C23EE7" w:rsidRPr="00C23EE7">
        <w:rPr>
          <w:rFonts w:ascii="Calibri" w:eastAsia="Times New Roman" w:hAnsi="Calibri" w:cs="Times New Roman"/>
          <w:szCs w:val="20"/>
          <w:lang w:eastAsia="fr-FR"/>
        </w:rPr>
        <w:t xml:space="preserve"> guarantee traceability of data during an external review</w:t>
      </w:r>
      <w:r w:rsidR="00EA722E">
        <w:rPr>
          <w:rFonts w:ascii="Calibri" w:eastAsia="Times New Roman" w:hAnsi="Calibri" w:cs="Times New Roman"/>
          <w:szCs w:val="20"/>
          <w:lang w:eastAsia="fr-FR"/>
        </w:rPr>
        <w:t>.</w:t>
      </w:r>
    </w:p>
    <w:p w14:paraId="17CCC845" w14:textId="0485CCE5" w:rsidR="00B21CFE" w:rsidRPr="00C23EE7" w:rsidRDefault="004268CF" w:rsidP="0035559C">
      <w:pPr>
        <w:pStyle w:val="ListParagraph"/>
        <w:numPr>
          <w:ilvl w:val="0"/>
          <w:numId w:val="10"/>
        </w:numPr>
        <w:ind w:left="714" w:hanging="357"/>
        <w:contextualSpacing w:val="0"/>
        <w:rPr>
          <w:rFonts w:ascii="Calibri" w:eastAsia="Times New Roman" w:hAnsi="Calibri" w:cs="Times New Roman"/>
          <w:szCs w:val="20"/>
          <w:lang w:eastAsia="fr-FR"/>
        </w:rPr>
      </w:pPr>
      <w:r w:rsidRPr="00B21CFE">
        <w:rPr>
          <w:b/>
          <w:bCs/>
          <w:lang w:eastAsia="fr-FR"/>
        </w:rPr>
        <w:t>Consistency internally</w:t>
      </w:r>
      <w:r w:rsidRPr="00342DFA">
        <w:rPr>
          <w:lang w:eastAsia="fr-FR"/>
        </w:rPr>
        <w:t xml:space="preserve"> </w:t>
      </w:r>
      <w:r w:rsidR="004C3C84" w:rsidRPr="00AA3F98">
        <w:rPr>
          <w:b/>
          <w:bCs/>
          <w:lang w:eastAsia="fr-FR"/>
        </w:rPr>
        <w:t>within</w:t>
      </w:r>
      <w:r w:rsidRPr="00AA3F98">
        <w:rPr>
          <w:b/>
          <w:bCs/>
          <w:lang w:eastAsia="fr-FR"/>
        </w:rPr>
        <w:t xml:space="preserve"> each company</w:t>
      </w:r>
      <w:r w:rsidR="00B21CFE">
        <w:rPr>
          <w:lang w:eastAsia="fr-FR"/>
        </w:rPr>
        <w:t xml:space="preserve">: </w:t>
      </w:r>
      <w:r w:rsidR="00752809">
        <w:rPr>
          <w:rFonts w:ascii="Calibri" w:eastAsia="Times New Roman" w:hAnsi="Calibri" w:cs="Times New Roman"/>
          <w:szCs w:val="20"/>
          <w:lang w:eastAsia="fr-FR"/>
        </w:rPr>
        <w:t>the</w:t>
      </w:r>
      <w:r w:rsidR="00752809" w:rsidRPr="00C23EE7">
        <w:rPr>
          <w:rFonts w:ascii="Calibri" w:eastAsia="Times New Roman" w:hAnsi="Calibri" w:cs="Times New Roman"/>
          <w:szCs w:val="20"/>
          <w:lang w:eastAsia="fr-FR"/>
        </w:rPr>
        <w:t xml:space="preserve"> </w:t>
      </w:r>
      <w:r w:rsidR="00B21CFE" w:rsidRPr="00C23EE7">
        <w:rPr>
          <w:rFonts w:ascii="Calibri" w:eastAsia="Times New Roman" w:hAnsi="Calibri" w:cs="Times New Roman"/>
          <w:szCs w:val="20"/>
          <w:lang w:eastAsia="fr-FR"/>
        </w:rPr>
        <w:t>reporting of an indicator should be internally consistent in all its elements with reporting of other years. Reporting is consistent if the same methodologies are used for the base and all subsequent years and if consistent data sets are used to estimate activities / source for each indicator</w:t>
      </w:r>
      <w:r w:rsidR="00EA722E">
        <w:rPr>
          <w:rFonts w:ascii="Calibri" w:eastAsia="Times New Roman" w:hAnsi="Calibri" w:cs="Times New Roman"/>
          <w:szCs w:val="20"/>
          <w:lang w:eastAsia="fr-FR"/>
        </w:rPr>
        <w:t>.</w:t>
      </w:r>
    </w:p>
    <w:p w14:paraId="4DB0B8D7" w14:textId="319F622D" w:rsidR="003D3D18" w:rsidRDefault="003D3D18" w:rsidP="0035559C">
      <w:pPr>
        <w:pStyle w:val="ListParagraph"/>
        <w:numPr>
          <w:ilvl w:val="0"/>
          <w:numId w:val="10"/>
        </w:numPr>
        <w:ind w:left="714" w:hanging="357"/>
        <w:contextualSpacing w:val="0"/>
        <w:rPr>
          <w:lang w:eastAsia="fr-FR"/>
        </w:rPr>
      </w:pPr>
      <w:r w:rsidRPr="00E77267">
        <w:rPr>
          <w:b/>
          <w:bCs/>
          <w:lang w:eastAsia="fr-FR"/>
        </w:rPr>
        <w:t>Relevance</w:t>
      </w:r>
      <w:r w:rsidRPr="003D3D18">
        <w:rPr>
          <w:lang w:eastAsia="fr-FR"/>
        </w:rPr>
        <w:t xml:space="preserve"> </w:t>
      </w:r>
      <w:r w:rsidRPr="00E77267">
        <w:rPr>
          <w:b/>
          <w:bCs/>
          <w:lang w:eastAsia="fr-FR"/>
        </w:rPr>
        <w:t>in defining appropriate boundaries</w:t>
      </w:r>
      <w:r>
        <w:rPr>
          <w:lang w:eastAsia="fr-FR"/>
        </w:rPr>
        <w:t xml:space="preserve"> for the organization’s reporting</w:t>
      </w:r>
      <w:r w:rsidR="00C83942">
        <w:rPr>
          <w:lang w:eastAsia="fr-FR"/>
        </w:rPr>
        <w:t xml:space="preserve">: </w:t>
      </w:r>
      <w:r w:rsidR="00C83942" w:rsidRPr="00C23EE7">
        <w:rPr>
          <w:rFonts w:ascii="Calibri" w:eastAsia="Times New Roman" w:hAnsi="Calibri" w:cs="Times New Roman"/>
          <w:szCs w:val="20"/>
          <w:lang w:eastAsia="fr-FR"/>
        </w:rPr>
        <w:t xml:space="preserve">the boundaries for companies’ reporting should be carefully set </w:t>
      </w:r>
      <w:proofErr w:type="gramStart"/>
      <w:r w:rsidR="00C83942" w:rsidRPr="00C23EE7">
        <w:rPr>
          <w:rFonts w:ascii="Calibri" w:eastAsia="Times New Roman" w:hAnsi="Calibri" w:cs="Times New Roman"/>
          <w:szCs w:val="20"/>
          <w:lang w:eastAsia="fr-FR"/>
        </w:rPr>
        <w:t>in order to</w:t>
      </w:r>
      <w:proofErr w:type="gramEnd"/>
      <w:r w:rsidR="00C83942" w:rsidRPr="00C23EE7">
        <w:rPr>
          <w:rFonts w:ascii="Calibri" w:eastAsia="Times New Roman" w:hAnsi="Calibri" w:cs="Times New Roman"/>
          <w:szCs w:val="20"/>
          <w:lang w:eastAsia="fr-FR"/>
        </w:rPr>
        <w:t xml:space="preserve"> appropriately reflect all relevant activities</w:t>
      </w:r>
      <w:r w:rsidR="00EA722E">
        <w:rPr>
          <w:rFonts w:ascii="Calibri" w:eastAsia="Times New Roman" w:hAnsi="Calibri" w:cs="Times New Roman"/>
          <w:szCs w:val="20"/>
          <w:lang w:eastAsia="fr-FR"/>
        </w:rPr>
        <w:t>.</w:t>
      </w:r>
    </w:p>
    <w:p w14:paraId="1F373405" w14:textId="019D845B" w:rsidR="00E77267" w:rsidRPr="00C23EE7" w:rsidRDefault="004268CF" w:rsidP="0035559C">
      <w:pPr>
        <w:pStyle w:val="ListParagraph"/>
        <w:numPr>
          <w:ilvl w:val="0"/>
          <w:numId w:val="10"/>
        </w:numPr>
        <w:ind w:left="714" w:hanging="357"/>
        <w:contextualSpacing w:val="0"/>
        <w:rPr>
          <w:rFonts w:ascii="Calibri" w:eastAsia="Times New Roman" w:hAnsi="Calibri" w:cs="Times New Roman"/>
          <w:szCs w:val="20"/>
          <w:lang w:eastAsia="fr-FR"/>
        </w:rPr>
      </w:pPr>
      <w:r w:rsidRPr="00E77267">
        <w:rPr>
          <w:b/>
          <w:bCs/>
          <w:lang w:eastAsia="fr-FR"/>
        </w:rPr>
        <w:t>Completeness</w:t>
      </w:r>
      <w:r w:rsidRPr="00342DFA">
        <w:rPr>
          <w:lang w:eastAsia="fr-FR"/>
        </w:rPr>
        <w:t xml:space="preserve"> </w:t>
      </w:r>
      <w:r w:rsidRPr="00E77267">
        <w:rPr>
          <w:b/>
          <w:bCs/>
          <w:lang w:eastAsia="fr-FR"/>
        </w:rPr>
        <w:t>in</w:t>
      </w:r>
      <w:r w:rsidRPr="00342DFA">
        <w:rPr>
          <w:lang w:eastAsia="fr-FR"/>
        </w:rPr>
        <w:t xml:space="preserve"> </w:t>
      </w:r>
      <w:r w:rsidRPr="00E77267">
        <w:rPr>
          <w:b/>
          <w:bCs/>
          <w:lang w:eastAsia="fr-FR"/>
        </w:rPr>
        <w:t xml:space="preserve">terms of coverage </w:t>
      </w:r>
      <w:r w:rsidRPr="00342DFA">
        <w:rPr>
          <w:lang w:eastAsia="fr-FR"/>
        </w:rPr>
        <w:t>of all significant activities</w:t>
      </w:r>
      <w:r w:rsidR="00E77267">
        <w:rPr>
          <w:lang w:eastAsia="fr-FR"/>
        </w:rPr>
        <w:t>: f</w:t>
      </w:r>
      <w:r w:rsidR="00E77267" w:rsidRPr="00C23EE7">
        <w:rPr>
          <w:rFonts w:ascii="Calibri" w:eastAsia="Times New Roman" w:hAnsi="Calibri" w:cs="Times New Roman"/>
          <w:szCs w:val="20"/>
          <w:lang w:eastAsia="fr-FR"/>
        </w:rPr>
        <w:t xml:space="preserve">or an indicator considered relevant by a company and within the chosen scope, all significant activities / sources of emission should be accounted for. For some indicators, there could be a need to define a materiality threshold which applies to a site, a </w:t>
      </w:r>
      <w:proofErr w:type="gramStart"/>
      <w:r w:rsidR="00E77267" w:rsidRPr="00C23EE7">
        <w:rPr>
          <w:rFonts w:ascii="Calibri" w:eastAsia="Times New Roman" w:hAnsi="Calibri" w:cs="Times New Roman"/>
          <w:szCs w:val="20"/>
          <w:lang w:eastAsia="fr-FR"/>
        </w:rPr>
        <w:t>branch</w:t>
      </w:r>
      <w:proofErr w:type="gramEnd"/>
      <w:r w:rsidR="00E77267" w:rsidRPr="00C23EE7">
        <w:rPr>
          <w:rFonts w:ascii="Calibri" w:eastAsia="Times New Roman" w:hAnsi="Calibri" w:cs="Times New Roman"/>
          <w:szCs w:val="20"/>
          <w:lang w:eastAsia="fr-FR"/>
        </w:rPr>
        <w:t xml:space="preserve"> or the company. The choice of boundaries (organizational, operational) and environmental indicators should be representative of the company's activities and the sensitivity of the environments in which it operates.</w:t>
      </w:r>
    </w:p>
    <w:p w14:paraId="16AB73FD" w14:textId="2337AF63" w:rsidR="004268CF" w:rsidRPr="00342DFA" w:rsidRDefault="004268CF" w:rsidP="0035559C">
      <w:pPr>
        <w:pStyle w:val="ListParagraph"/>
        <w:numPr>
          <w:ilvl w:val="0"/>
          <w:numId w:val="10"/>
        </w:numPr>
        <w:ind w:left="714" w:hanging="357"/>
        <w:contextualSpacing w:val="0"/>
        <w:rPr>
          <w:lang w:eastAsia="fr-FR"/>
        </w:rPr>
      </w:pPr>
      <w:r w:rsidRPr="00E77267">
        <w:rPr>
          <w:b/>
          <w:bCs/>
          <w:lang w:eastAsia="fr-FR"/>
        </w:rPr>
        <w:t>Accuracy of the estimation</w:t>
      </w:r>
      <w:r w:rsidR="00E77267">
        <w:rPr>
          <w:lang w:eastAsia="fr-FR"/>
        </w:rPr>
        <w:t>:</w:t>
      </w:r>
      <w:r w:rsidR="00E77267" w:rsidRPr="00E77267">
        <w:rPr>
          <w:rFonts w:ascii="Calibri" w:eastAsia="Times New Roman" w:hAnsi="Calibri" w:cs="Times New Roman"/>
          <w:szCs w:val="20"/>
          <w:lang w:eastAsia="fr-FR"/>
        </w:rPr>
        <w:t xml:space="preserve"> </w:t>
      </w:r>
      <w:r w:rsidR="00E77267" w:rsidRPr="00C23EE7">
        <w:rPr>
          <w:rFonts w:ascii="Calibri" w:eastAsia="Times New Roman" w:hAnsi="Calibri" w:cs="Times New Roman"/>
          <w:szCs w:val="20"/>
          <w:lang w:eastAsia="fr-FR"/>
        </w:rPr>
        <w:t xml:space="preserve">Accuracy is a relative measure of the exactness of activities or sources. Estimates should be accurate in the sense that they are systematically neither over nor under </w:t>
      </w:r>
      <w:r w:rsidR="00752809">
        <w:rPr>
          <w:rFonts w:ascii="Calibri" w:eastAsia="Times New Roman" w:hAnsi="Calibri" w:cs="Times New Roman"/>
          <w:szCs w:val="20"/>
          <w:lang w:eastAsia="fr-FR"/>
        </w:rPr>
        <w:t xml:space="preserve">the </w:t>
      </w:r>
      <w:r w:rsidR="00E77267" w:rsidRPr="00C23EE7">
        <w:rPr>
          <w:rFonts w:ascii="Calibri" w:eastAsia="Times New Roman" w:hAnsi="Calibri" w:cs="Times New Roman"/>
          <w:szCs w:val="20"/>
          <w:lang w:eastAsia="fr-FR"/>
        </w:rPr>
        <w:t>true value for the indicator, as far as can be judged, and that uncertainties are reduced as far as practicable.</w:t>
      </w:r>
    </w:p>
    <w:p w14:paraId="7F0A21E7" w14:textId="3D1662C9" w:rsidR="00C23EE7" w:rsidRDefault="00D13DA5" w:rsidP="005C77BD">
      <w:pPr>
        <w:pStyle w:val="Heading1"/>
      </w:pPr>
      <w:bookmarkStart w:id="2" w:name="_Toc97226715"/>
      <w:r>
        <w:t xml:space="preserve">Reporting </w:t>
      </w:r>
      <w:r w:rsidRPr="00336556">
        <w:t>process</w:t>
      </w:r>
      <w:bookmarkEnd w:id="2"/>
    </w:p>
    <w:p w14:paraId="0466CFF5" w14:textId="4A2A2293" w:rsidR="007F3DBC" w:rsidRPr="00342DFA" w:rsidRDefault="00E13233" w:rsidP="001F5AF9">
      <w:pPr>
        <w:pStyle w:val="Heading2"/>
      </w:pPr>
      <w:r>
        <w:t>EY data consolidation and review process</w:t>
      </w:r>
    </w:p>
    <w:p w14:paraId="5E1DF149" w14:textId="43810343" w:rsidR="007F67B0" w:rsidRDefault="007F3DBC" w:rsidP="00866204">
      <w:r w:rsidRPr="00876D79">
        <w:t xml:space="preserve">Since 2016, OGCI has been working with </w:t>
      </w:r>
      <w:r w:rsidR="00BB1D43" w:rsidRPr="00876D79">
        <w:t>EY</w:t>
      </w:r>
      <w:r w:rsidR="00BB1D43">
        <w:t xml:space="preserve"> &amp; </w:t>
      </w:r>
      <w:proofErr w:type="spellStart"/>
      <w:r w:rsidR="00BB1D43">
        <w:t>Associés</w:t>
      </w:r>
      <w:proofErr w:type="spellEnd"/>
      <w:r w:rsidR="00BB1D43">
        <w:t xml:space="preserve"> (EY), as an</w:t>
      </w:r>
      <w:r w:rsidRPr="00876D79">
        <w:t xml:space="preserve"> </w:t>
      </w:r>
      <w:bookmarkStart w:id="3" w:name="_Hlk17796472"/>
      <w:r w:rsidRPr="00876D79">
        <w:t>independent 3</w:t>
      </w:r>
      <w:r w:rsidRPr="00876D79">
        <w:rPr>
          <w:vertAlign w:val="superscript"/>
        </w:rPr>
        <w:t>rd</w:t>
      </w:r>
      <w:r w:rsidRPr="00876D79">
        <w:t xml:space="preserve"> party</w:t>
      </w:r>
      <w:r w:rsidR="00BB1D43">
        <w:t xml:space="preserve">, </w:t>
      </w:r>
      <w:bookmarkEnd w:id="3"/>
      <w:r w:rsidRPr="00876D79">
        <w:t xml:space="preserve">to </w:t>
      </w:r>
      <w:r w:rsidR="00BB1D43">
        <w:t xml:space="preserve">collect and check data consistency, and </w:t>
      </w:r>
      <w:r w:rsidRPr="00876D79">
        <w:t xml:space="preserve">guarantee the confidentiality of member companies’ data. </w:t>
      </w:r>
      <w:r w:rsidR="00BB1D43">
        <w:t>In</w:t>
      </w:r>
      <w:r w:rsidRPr="00876D79">
        <w:t xml:space="preserve"> 2019</w:t>
      </w:r>
      <w:r w:rsidR="00866204">
        <w:t>, we developed together</w:t>
      </w:r>
      <w:r w:rsidRPr="00876D79">
        <w:t xml:space="preserve"> </w:t>
      </w:r>
      <w:r w:rsidR="00866204">
        <w:t xml:space="preserve">with EY </w:t>
      </w:r>
      <w:r w:rsidRPr="00876D79">
        <w:t>an innovative process</w:t>
      </w:r>
      <w:r w:rsidR="00866204">
        <w:t xml:space="preserve">, applicable </w:t>
      </w:r>
      <w:r w:rsidRPr="00876D79">
        <w:t xml:space="preserve">to both listed and </w:t>
      </w:r>
      <w:r w:rsidR="00866204">
        <w:t>s</w:t>
      </w:r>
      <w:r w:rsidR="00866204" w:rsidRPr="00866204">
        <w:t>tate-owned</w:t>
      </w:r>
      <w:r w:rsidR="00866204">
        <w:t xml:space="preserve"> </w:t>
      </w:r>
      <w:r w:rsidRPr="00876D79">
        <w:t>national oil companies</w:t>
      </w:r>
      <w:r w:rsidR="00866204">
        <w:t>, to aggregate information about the level of third-party assurance that member companies apply individually into OGCI data reporting</w:t>
      </w:r>
      <w:r w:rsidRPr="00876D79">
        <w:t xml:space="preserve">. Most OGCI member companies already ensure that data reported to the OGCI are independently verified. </w:t>
      </w:r>
      <w:r w:rsidR="007F67B0">
        <w:t>Our process confirms</w:t>
      </w:r>
      <w:r w:rsidRPr="00876D79">
        <w:t xml:space="preserve"> that OGCI data</w:t>
      </w:r>
      <w:r w:rsidR="00866204">
        <w:t>, as well as information about thir</w:t>
      </w:r>
      <w:r w:rsidR="009112EB">
        <w:t>d</w:t>
      </w:r>
      <w:r w:rsidR="00866204">
        <w:t>-party data assurance</w:t>
      </w:r>
      <w:r w:rsidRPr="00876D79">
        <w:t xml:space="preserve"> are consolidated</w:t>
      </w:r>
      <w:r w:rsidR="00C61CD7">
        <w:t xml:space="preserve">, </w:t>
      </w:r>
      <w:proofErr w:type="gramStart"/>
      <w:r w:rsidR="00C61CD7">
        <w:t>reviewed</w:t>
      </w:r>
      <w:proofErr w:type="gramEnd"/>
      <w:r w:rsidR="00C61CD7">
        <w:t xml:space="preserve"> and challenged</w:t>
      </w:r>
      <w:r w:rsidRPr="00876D79">
        <w:t xml:space="preserve"> in order to increase the reliability of the aggregate data we publish. </w:t>
      </w:r>
      <w:r w:rsidR="007F67B0">
        <w:t>In 2020, we worked with EY to develop a verification process for a selection of our aggregate data.</w:t>
      </w:r>
      <w:r w:rsidR="00603EA1">
        <w:t xml:space="preserve"> </w:t>
      </w:r>
      <w:r w:rsidR="007F67B0">
        <w:t>EY’s statement for this year covers eight of OGCI’s 12 members</w:t>
      </w:r>
      <w:r w:rsidR="00603EA1">
        <w:t xml:space="preserve"> (see Appendix D)</w:t>
      </w:r>
      <w:r w:rsidR="007F67B0">
        <w:t>.</w:t>
      </w:r>
    </w:p>
    <w:p w14:paraId="503928BB" w14:textId="560A2443" w:rsidR="004452AE" w:rsidRDefault="007F3DBC" w:rsidP="00866204">
      <w:r w:rsidRPr="00876D79">
        <w:t>The approach is summarized below.</w:t>
      </w:r>
    </w:p>
    <w:p w14:paraId="4F794F4B" w14:textId="1C55CEB0" w:rsidR="005C77BD" w:rsidRDefault="005C77BD" w:rsidP="005C77BD">
      <w:pPr>
        <w:pStyle w:val="Heading2"/>
        <w:rPr>
          <w:lang w:val="en-US"/>
        </w:rPr>
      </w:pPr>
      <w:r>
        <w:rPr>
          <w:lang w:val="en-US"/>
        </w:rPr>
        <w:t>Timeline</w:t>
      </w:r>
    </w:p>
    <w:p w14:paraId="7BE3C9EF" w14:textId="06FC64E1" w:rsidR="005C77BD" w:rsidRDefault="005C77BD" w:rsidP="005C77BD">
      <w:pPr>
        <w:rPr>
          <w:lang w:val="en-US" w:eastAsia="fr-FR"/>
        </w:rPr>
      </w:pPr>
      <w:r>
        <w:rPr>
          <w:lang w:val="en-US" w:eastAsia="fr-FR"/>
        </w:rPr>
        <w:t xml:space="preserve">OGCI aims to publish the chosen indicators </w:t>
      </w:r>
      <w:r w:rsidR="007F67B0">
        <w:rPr>
          <w:lang w:val="en-US" w:eastAsia="fr-FR"/>
        </w:rPr>
        <w:t>on its website</w:t>
      </w:r>
      <w:r>
        <w:rPr>
          <w:lang w:val="en-US" w:eastAsia="fr-FR"/>
        </w:rPr>
        <w:t xml:space="preserve"> in </w:t>
      </w:r>
      <w:r w:rsidR="005D4962">
        <w:rPr>
          <w:lang w:val="en-US" w:eastAsia="fr-FR"/>
        </w:rPr>
        <w:t>October</w:t>
      </w:r>
      <w:r w:rsidRPr="00752809">
        <w:rPr>
          <w:lang w:val="en-US" w:eastAsia="fr-FR"/>
        </w:rPr>
        <w:t xml:space="preserve"> </w:t>
      </w:r>
      <w:r>
        <w:rPr>
          <w:lang w:val="en-US" w:eastAsia="fr-FR"/>
        </w:rPr>
        <w:t>in accordance with the following milestones:</w:t>
      </w:r>
    </w:p>
    <w:p w14:paraId="6CC6BFEC" w14:textId="77777777" w:rsidR="005C77BD" w:rsidRDefault="005C77BD" w:rsidP="0035559C">
      <w:pPr>
        <w:pStyle w:val="ListParagraph"/>
        <w:numPr>
          <w:ilvl w:val="0"/>
          <w:numId w:val="13"/>
        </w:numPr>
        <w:rPr>
          <w:lang w:val="en-US" w:eastAsia="fr-FR"/>
        </w:rPr>
      </w:pPr>
      <w:r>
        <w:rPr>
          <w:lang w:val="en-US" w:eastAsia="fr-FR"/>
        </w:rPr>
        <w:t>The Reporting Framework is reviewed on a yearly basis between January and February.</w:t>
      </w:r>
    </w:p>
    <w:p w14:paraId="1FBDA25E" w14:textId="77777777" w:rsidR="005C77BD" w:rsidRDefault="005C77BD" w:rsidP="0035559C">
      <w:pPr>
        <w:pStyle w:val="ListParagraph"/>
        <w:numPr>
          <w:ilvl w:val="0"/>
          <w:numId w:val="13"/>
        </w:numPr>
        <w:rPr>
          <w:lang w:val="en-US" w:eastAsia="fr-FR"/>
        </w:rPr>
      </w:pPr>
      <w:r>
        <w:rPr>
          <w:lang w:val="en-US" w:eastAsia="fr-FR"/>
        </w:rPr>
        <w:lastRenderedPageBreak/>
        <w:t xml:space="preserve">The </w:t>
      </w:r>
      <w:r w:rsidRPr="000B696C">
        <w:rPr>
          <w:lang w:val="en-US" w:eastAsia="fr-FR"/>
        </w:rPr>
        <w:t xml:space="preserve">collection </w:t>
      </w:r>
      <w:r>
        <w:rPr>
          <w:lang w:val="en-US" w:eastAsia="fr-FR"/>
        </w:rPr>
        <w:t>of d</w:t>
      </w:r>
      <w:r w:rsidRPr="000B696C">
        <w:rPr>
          <w:lang w:val="en-US" w:eastAsia="fr-FR"/>
        </w:rPr>
        <w:t xml:space="preserve">ata </w:t>
      </w:r>
      <w:r>
        <w:rPr>
          <w:lang w:val="en-US" w:eastAsia="fr-FR"/>
        </w:rPr>
        <w:t xml:space="preserve">for the preceding year </w:t>
      </w:r>
      <w:r w:rsidRPr="000B696C">
        <w:rPr>
          <w:lang w:val="en-US" w:eastAsia="fr-FR"/>
        </w:rPr>
        <w:t xml:space="preserve">is performed </w:t>
      </w:r>
      <w:r>
        <w:rPr>
          <w:lang w:val="en-US" w:eastAsia="fr-FR"/>
        </w:rPr>
        <w:t>through the independent 3</w:t>
      </w:r>
      <w:r w:rsidRPr="00336556">
        <w:rPr>
          <w:vertAlign w:val="superscript"/>
          <w:lang w:val="en-US" w:eastAsia="fr-FR"/>
        </w:rPr>
        <w:t>rd</w:t>
      </w:r>
      <w:r>
        <w:rPr>
          <w:lang w:val="en-US" w:eastAsia="fr-FR"/>
        </w:rPr>
        <w:t xml:space="preserve"> party </w:t>
      </w:r>
      <w:r w:rsidRPr="000B696C">
        <w:rPr>
          <w:lang w:val="en-US" w:eastAsia="fr-FR"/>
        </w:rPr>
        <w:t xml:space="preserve">between April and </w:t>
      </w:r>
      <w:r>
        <w:rPr>
          <w:lang w:val="en-US" w:eastAsia="fr-FR"/>
        </w:rPr>
        <w:t xml:space="preserve">June </w:t>
      </w:r>
      <w:r w:rsidRPr="000B696C">
        <w:rPr>
          <w:lang w:val="en-US" w:eastAsia="fr-FR"/>
        </w:rPr>
        <w:t xml:space="preserve">of </w:t>
      </w:r>
      <w:r>
        <w:rPr>
          <w:lang w:val="en-US" w:eastAsia="fr-FR"/>
        </w:rPr>
        <w:t xml:space="preserve">current </w:t>
      </w:r>
      <w:r w:rsidRPr="000B696C">
        <w:rPr>
          <w:lang w:val="en-US" w:eastAsia="fr-FR"/>
        </w:rPr>
        <w:t>year.</w:t>
      </w:r>
    </w:p>
    <w:p w14:paraId="490ABDB3" w14:textId="178E6694" w:rsidR="005C77BD" w:rsidRPr="000B696C" w:rsidRDefault="005C77BD" w:rsidP="0035559C">
      <w:pPr>
        <w:pStyle w:val="ListParagraph"/>
        <w:numPr>
          <w:ilvl w:val="0"/>
          <w:numId w:val="13"/>
        </w:numPr>
        <w:rPr>
          <w:lang w:val="en-US" w:eastAsia="fr-FR"/>
        </w:rPr>
      </w:pPr>
      <w:r>
        <w:rPr>
          <w:lang w:val="en-US" w:eastAsia="fr-FR"/>
        </w:rPr>
        <w:t>The consolidation of individual member company data and the calculation of OGCI indicators are performed between July and August.</w:t>
      </w:r>
    </w:p>
    <w:p w14:paraId="463EFE1E" w14:textId="1B6973FE" w:rsidR="00676E71" w:rsidRDefault="007F67B0" w:rsidP="00676E71">
      <w:pPr>
        <w:jc w:val="center"/>
        <w:rPr>
          <w:rFonts w:ascii="Arial" w:hAnsi="Arial" w:cs="Arial"/>
          <w:szCs w:val="20"/>
        </w:rPr>
      </w:pPr>
      <w:r>
        <w:rPr>
          <w:b/>
          <w:bCs/>
          <w:noProof/>
        </w:rPr>
        <w:drawing>
          <wp:anchor distT="0" distB="0" distL="114300" distR="114300" simplePos="0" relativeHeight="251658240" behindDoc="0" locked="0" layoutInCell="1" allowOverlap="1" wp14:anchorId="7C17D35C" wp14:editId="39146011">
            <wp:simplePos x="0" y="0"/>
            <wp:positionH relativeFrom="margin">
              <wp:posOffset>0</wp:posOffset>
            </wp:positionH>
            <wp:positionV relativeFrom="margin">
              <wp:posOffset>928370</wp:posOffset>
            </wp:positionV>
            <wp:extent cx="5914390" cy="4975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4390" cy="4975225"/>
                    </a:xfrm>
                    <a:prstGeom prst="rect">
                      <a:avLst/>
                    </a:prstGeom>
                    <a:noFill/>
                  </pic:spPr>
                </pic:pic>
              </a:graphicData>
            </a:graphic>
            <wp14:sizeRelH relativeFrom="margin">
              <wp14:pctWidth>0</wp14:pctWidth>
            </wp14:sizeRelH>
            <wp14:sizeRelV relativeFrom="margin">
              <wp14:pctHeight>0</wp14:pctHeight>
            </wp14:sizeRelV>
          </wp:anchor>
        </w:drawing>
      </w:r>
    </w:p>
    <w:p w14:paraId="2F55E884" w14:textId="74C68410" w:rsidR="00676E71" w:rsidRDefault="00676E71" w:rsidP="0029589C">
      <w:pPr>
        <w:pStyle w:val="Caption"/>
      </w:pPr>
      <w:r>
        <w:t xml:space="preserve">Figure </w:t>
      </w:r>
      <w:r>
        <w:fldChar w:fldCharType="begin"/>
      </w:r>
      <w:r>
        <w:instrText xml:space="preserve"> SEQ Figure \* ARABIC </w:instrText>
      </w:r>
      <w:r>
        <w:fldChar w:fldCharType="separate"/>
      </w:r>
      <w:r w:rsidR="00120F27">
        <w:rPr>
          <w:noProof/>
        </w:rPr>
        <w:t>1</w:t>
      </w:r>
      <w:r>
        <w:fldChar w:fldCharType="end"/>
      </w:r>
      <w:r>
        <w:t>: Data consolidation and review process</w:t>
      </w:r>
      <w:r w:rsidR="00F37981">
        <w:t xml:space="preserve"> – Source</w:t>
      </w:r>
      <w:r w:rsidR="00A16E4B">
        <w:t>:</w:t>
      </w:r>
      <w:r w:rsidR="00F37981">
        <w:t xml:space="preserve"> OGCI</w:t>
      </w:r>
    </w:p>
    <w:p w14:paraId="518D3668" w14:textId="4359BAD3" w:rsidR="004D010B" w:rsidRPr="00B07C95" w:rsidRDefault="004D010B" w:rsidP="001F5AF9">
      <w:pPr>
        <w:pStyle w:val="Heading1"/>
      </w:pPr>
      <w:bookmarkStart w:id="4" w:name="_Ref18401014"/>
      <w:bookmarkStart w:id="5" w:name="_Toc97226716"/>
      <w:r>
        <w:t>Definitions</w:t>
      </w:r>
      <w:bookmarkEnd w:id="4"/>
      <w:bookmarkEnd w:id="5"/>
    </w:p>
    <w:p w14:paraId="6A7AAAA1" w14:textId="571EC540" w:rsidR="00AA3F98" w:rsidRPr="00B07C95" w:rsidRDefault="00AA3F98" w:rsidP="00BF3A41">
      <w:pPr>
        <w:pStyle w:val="Heading3"/>
      </w:pPr>
      <w:r w:rsidRPr="00B07C95">
        <w:t>Site</w:t>
      </w:r>
    </w:p>
    <w:p w14:paraId="7EF0DE1E" w14:textId="77777777" w:rsidR="00AA3F98" w:rsidRPr="00342DFA" w:rsidRDefault="00AA3F98" w:rsidP="00AA3F98">
      <w:pPr>
        <w:rPr>
          <w:lang w:eastAsia="fr-FR"/>
        </w:rPr>
      </w:pPr>
      <w:r w:rsidRPr="00342DFA">
        <w:rPr>
          <w:lang w:eastAsia="fr-FR"/>
        </w:rPr>
        <w:t xml:space="preserve">A site means any property, plant, building, structure, stationary source, stationary equipment or grouping of stationary equipment or stationary sources located on one or more contiguous or adjacent properties, in actual physical contact or separated solely by a public roadway or other public right-of way, and under common operational control. For offshore activities, a site could regroup several platforms as soon as there is an operational, </w:t>
      </w:r>
      <w:proofErr w:type="gramStart"/>
      <w:r w:rsidRPr="00342DFA">
        <w:rPr>
          <w:lang w:eastAsia="fr-FR"/>
        </w:rPr>
        <w:t>technical</w:t>
      </w:r>
      <w:proofErr w:type="gramEnd"/>
      <w:r w:rsidRPr="00342DFA">
        <w:rPr>
          <w:lang w:eastAsia="fr-FR"/>
        </w:rPr>
        <w:t xml:space="preserve"> or economic logic to do so.</w:t>
      </w:r>
    </w:p>
    <w:p w14:paraId="798619DC" w14:textId="77777777" w:rsidR="00AA3F98" w:rsidRPr="00B07C95" w:rsidRDefault="00AA3F98" w:rsidP="001F5AF9">
      <w:pPr>
        <w:pStyle w:val="Heading3"/>
      </w:pPr>
      <w:bookmarkStart w:id="6" w:name="_Hlk34645497"/>
      <w:r w:rsidRPr="00B07C95">
        <w:t>Operated domain</w:t>
      </w:r>
    </w:p>
    <w:p w14:paraId="3607E555" w14:textId="0F8C6F96" w:rsidR="00B7270E" w:rsidRPr="00764027" w:rsidRDefault="001963E3" w:rsidP="00B7270E">
      <w:pPr>
        <w:rPr>
          <w:rFonts w:cstheme="minorHAnsi"/>
          <w:szCs w:val="20"/>
          <w:lang w:val="en-US"/>
        </w:rPr>
      </w:pPr>
      <w:bookmarkStart w:id="7" w:name="_Hlk19715985"/>
      <w:r w:rsidRPr="00764027">
        <w:rPr>
          <w:rFonts w:cstheme="minorHAnsi"/>
          <w:szCs w:val="20"/>
          <w:lang w:val="en-US"/>
        </w:rPr>
        <w:t xml:space="preserve">Data </w:t>
      </w:r>
      <w:r w:rsidR="003B4F95">
        <w:rPr>
          <w:rFonts w:cstheme="minorHAnsi"/>
          <w:szCs w:val="20"/>
          <w:lang w:val="en-US"/>
        </w:rPr>
        <w:t>is</w:t>
      </w:r>
      <w:r w:rsidR="003B4F95" w:rsidRPr="00764027">
        <w:rPr>
          <w:rFonts w:cstheme="minorHAnsi"/>
          <w:szCs w:val="20"/>
          <w:lang w:val="en-US"/>
        </w:rPr>
        <w:t xml:space="preserve"> </w:t>
      </w:r>
      <w:r w:rsidRPr="00764027">
        <w:rPr>
          <w:rFonts w:cstheme="minorHAnsi"/>
          <w:szCs w:val="20"/>
          <w:lang w:val="en-US"/>
        </w:rPr>
        <w:t>collected from each reporting unit about assets operated by the reporting company, including those assets partly owned by other companies (</w:t>
      </w:r>
      <w:proofErr w:type="gramStart"/>
      <w:r w:rsidRPr="00764027">
        <w:rPr>
          <w:rFonts w:cstheme="minorHAnsi"/>
          <w:szCs w:val="20"/>
          <w:lang w:val="en-US"/>
        </w:rPr>
        <w:t>i.e.</w:t>
      </w:r>
      <w:proofErr w:type="gramEnd"/>
      <w:r w:rsidRPr="00764027">
        <w:rPr>
          <w:rFonts w:cstheme="minorHAnsi"/>
          <w:szCs w:val="20"/>
          <w:lang w:val="en-US"/>
        </w:rPr>
        <w:t xml:space="preserve"> an operated joint-venture). Conversely this approach excludes data from assets which are partly owned by the reporting unit but operated by another company (</w:t>
      </w:r>
      <w:proofErr w:type="gramStart"/>
      <w:r w:rsidRPr="00764027">
        <w:rPr>
          <w:rFonts w:cstheme="minorHAnsi"/>
          <w:szCs w:val="20"/>
          <w:lang w:val="en-US"/>
        </w:rPr>
        <w:t>i.e.</w:t>
      </w:r>
      <w:proofErr w:type="gramEnd"/>
      <w:r w:rsidRPr="00764027">
        <w:rPr>
          <w:rFonts w:cstheme="minorHAnsi"/>
          <w:szCs w:val="20"/>
          <w:lang w:val="en-US"/>
        </w:rPr>
        <w:t xml:space="preserve"> a non-operated joint venture). </w:t>
      </w:r>
      <w:r w:rsidR="00B7270E" w:rsidRPr="00764027">
        <w:rPr>
          <w:rFonts w:cstheme="minorHAnsi"/>
          <w:szCs w:val="20"/>
          <w:lang w:val="en-US"/>
        </w:rPr>
        <w:t>The operational control approach is thus generally defined to collect and consolidate all data or information from assets which meet either of the following criteria:</w:t>
      </w:r>
    </w:p>
    <w:p w14:paraId="67F5B476" w14:textId="57DC2185" w:rsidR="00B7270E" w:rsidRPr="00B7270E" w:rsidRDefault="00B7270E" w:rsidP="0035559C">
      <w:pPr>
        <w:pStyle w:val="ListParagraph"/>
        <w:numPr>
          <w:ilvl w:val="0"/>
          <w:numId w:val="21"/>
        </w:numPr>
        <w:rPr>
          <w:lang w:val="en-US"/>
        </w:rPr>
      </w:pPr>
      <w:r w:rsidRPr="00B7270E">
        <w:rPr>
          <w:lang w:val="en-US"/>
        </w:rPr>
        <w:t>The asset is operated by the company, whether for itself; or under a contractual obligation to other owners or participants in the asset (for example, in a joint venture or other such commercial arrangement).</w:t>
      </w:r>
    </w:p>
    <w:p w14:paraId="0FB982CE" w14:textId="77777777" w:rsidR="00B7270E" w:rsidRPr="00B7270E" w:rsidRDefault="00B7270E" w:rsidP="0035559C">
      <w:pPr>
        <w:pStyle w:val="ListParagraph"/>
        <w:numPr>
          <w:ilvl w:val="0"/>
          <w:numId w:val="21"/>
        </w:numPr>
        <w:rPr>
          <w:lang w:val="en-US"/>
        </w:rPr>
      </w:pPr>
      <w:r w:rsidRPr="00B7270E">
        <w:rPr>
          <w:lang w:val="en-US"/>
        </w:rPr>
        <w:t xml:space="preserve">The asset is operated by a joint venture (or equivalent commercial arrangement), in respect of which the company </w:t>
      </w:r>
      <w:proofErr w:type="gramStart"/>
      <w:r w:rsidRPr="00B7270E">
        <w:rPr>
          <w:lang w:val="en-US"/>
        </w:rPr>
        <w:t>has the ability to</w:t>
      </w:r>
      <w:proofErr w:type="gramEnd"/>
      <w:r w:rsidRPr="00B7270E">
        <w:rPr>
          <w:lang w:val="en-US"/>
        </w:rPr>
        <w:t xml:space="preserve"> determine management and board-level decisions of the joint venture.</w:t>
      </w:r>
    </w:p>
    <w:bookmarkEnd w:id="6"/>
    <w:bookmarkEnd w:id="7"/>
    <w:p w14:paraId="7302A4F5" w14:textId="77777777" w:rsidR="00AA3F98" w:rsidRPr="00342DFA" w:rsidRDefault="00AA3F98" w:rsidP="00AA3F98">
      <w:pPr>
        <w:spacing w:before="240" w:after="0"/>
        <w:jc w:val="left"/>
        <w:rPr>
          <w:lang w:eastAsia="fr-FR"/>
        </w:rPr>
      </w:pPr>
      <w:r w:rsidRPr="003A4D4C">
        <w:rPr>
          <w:b/>
          <w:bCs/>
        </w:rPr>
        <w:lastRenderedPageBreak/>
        <w:t>Specific case of rotating management</w:t>
      </w:r>
      <w:r>
        <w:rPr>
          <w:b/>
          <w:bCs/>
        </w:rPr>
        <w:t xml:space="preserve">: </w:t>
      </w:r>
      <w:r w:rsidRPr="00342DFA">
        <w:rPr>
          <w:lang w:eastAsia="fr-FR"/>
        </w:rPr>
        <w:t>A site is in "rotating management" when the operator is alternated over periods of time with a predefined order. These sites are not included in the operated domain.</w:t>
      </w:r>
    </w:p>
    <w:p w14:paraId="477F4630" w14:textId="1D75724D" w:rsidR="00AA3F98" w:rsidRPr="00B07C95" w:rsidRDefault="00AA3F98" w:rsidP="001F5AF9">
      <w:pPr>
        <w:pStyle w:val="Heading3"/>
      </w:pPr>
      <w:bookmarkStart w:id="8" w:name="_Hlk19773071"/>
      <w:r w:rsidRPr="00B07C95">
        <w:t xml:space="preserve">Equity </w:t>
      </w:r>
      <w:r w:rsidR="00C36384">
        <w:t>s</w:t>
      </w:r>
      <w:r w:rsidRPr="00B07C95">
        <w:t xml:space="preserve">hare </w:t>
      </w:r>
      <w:r w:rsidR="00C36384">
        <w:t>d</w:t>
      </w:r>
      <w:r w:rsidRPr="00B07C95">
        <w:t>omain</w:t>
      </w:r>
    </w:p>
    <w:p w14:paraId="78B46A96" w14:textId="36665B7D" w:rsidR="00AA3F98" w:rsidRDefault="00AA3F98" w:rsidP="00AA3F98">
      <w:pPr>
        <w:rPr>
          <w:lang w:eastAsia="fr-FR"/>
        </w:rPr>
      </w:pPr>
      <w:r w:rsidRPr="00342DFA">
        <w:rPr>
          <w:lang w:eastAsia="fr-FR"/>
        </w:rPr>
        <w:t xml:space="preserve">The perimeter called "equity share domain" includes all assets in which the </w:t>
      </w:r>
      <w:r w:rsidR="00F905DE">
        <w:rPr>
          <w:lang w:eastAsia="fr-FR"/>
        </w:rPr>
        <w:t>c</w:t>
      </w:r>
      <w:r w:rsidRPr="00342DFA">
        <w:rPr>
          <w:lang w:eastAsia="fr-FR"/>
        </w:rPr>
        <w:t>ompany has a financial interest with rights over all or part of the production (or storage capacity or transport capacity), whether they are part of the operated domain or are operated by third parties, in rotating management or by shared control.</w:t>
      </w:r>
      <w:r>
        <w:rPr>
          <w:lang w:eastAsia="fr-FR"/>
        </w:rPr>
        <w:t xml:space="preserve"> </w:t>
      </w:r>
      <w:r w:rsidRPr="00342DFA">
        <w:rPr>
          <w:lang w:eastAsia="fr-FR"/>
        </w:rPr>
        <w:t xml:space="preserve">The financial interests without operational responsibility and without rights to all or part of the production should not result in equity share accounting of </w:t>
      </w:r>
      <w:r w:rsidR="00F905DE">
        <w:rPr>
          <w:lang w:eastAsia="fr-FR"/>
        </w:rPr>
        <w:t>the c</w:t>
      </w:r>
      <w:r w:rsidRPr="00342DFA">
        <w:rPr>
          <w:lang w:eastAsia="fr-FR"/>
        </w:rPr>
        <w:t xml:space="preserve">ompany’s </w:t>
      </w:r>
      <w:r w:rsidR="0020455B">
        <w:rPr>
          <w:lang w:eastAsia="fr-FR"/>
        </w:rPr>
        <w:t>environmental</w:t>
      </w:r>
      <w:r w:rsidR="00422374" w:rsidRPr="00342DFA">
        <w:rPr>
          <w:lang w:eastAsia="fr-FR"/>
        </w:rPr>
        <w:t xml:space="preserve"> </w:t>
      </w:r>
      <w:r w:rsidRPr="00342DFA">
        <w:rPr>
          <w:lang w:eastAsia="fr-FR"/>
        </w:rPr>
        <w:t>footprint.</w:t>
      </w:r>
    </w:p>
    <w:bookmarkEnd w:id="8"/>
    <w:p w14:paraId="7BF318BC" w14:textId="3808DD02" w:rsidR="0079521D" w:rsidRDefault="0079521D" w:rsidP="001F5AF9">
      <w:pPr>
        <w:pStyle w:val="Heading3"/>
      </w:pPr>
      <w:r w:rsidRPr="00810A15">
        <w:t>Upstream activities</w:t>
      </w:r>
    </w:p>
    <w:p w14:paraId="407F2EDA" w14:textId="30A66301" w:rsidR="0079521D" w:rsidRDefault="0079521D">
      <w:pPr>
        <w:rPr>
          <w:lang w:eastAsia="fr-FR"/>
        </w:rPr>
      </w:pPr>
      <w:r>
        <w:rPr>
          <w:lang w:eastAsia="it-IT"/>
        </w:rPr>
        <w:t xml:space="preserve">Upstream activities </w:t>
      </w:r>
      <w:r w:rsidRPr="00810A15">
        <w:rPr>
          <w:lang w:eastAsia="it-IT"/>
        </w:rPr>
        <w:t xml:space="preserve">comprise all operations from exploration to production and gas </w:t>
      </w:r>
      <w:r w:rsidRPr="0033435D">
        <w:rPr>
          <w:lang w:eastAsia="it-IT"/>
        </w:rPr>
        <w:t>processing (up to the first point of sale), including LNG liquefaction plants</w:t>
      </w:r>
      <w:r w:rsidR="00B20B20" w:rsidRPr="0033435D">
        <w:rPr>
          <w:lang w:eastAsia="it-IT"/>
        </w:rPr>
        <w:t xml:space="preserve"> if located before the first point of sale</w:t>
      </w:r>
      <w:r w:rsidRPr="0033435D">
        <w:rPr>
          <w:lang w:eastAsia="it-IT"/>
        </w:rPr>
        <w:t>.</w:t>
      </w:r>
    </w:p>
    <w:p w14:paraId="55CF0327" w14:textId="77777777" w:rsidR="003F7D36" w:rsidRDefault="003F7D36" w:rsidP="001F5AF9">
      <w:pPr>
        <w:pStyle w:val="Heading3"/>
      </w:pPr>
      <w:r>
        <w:t>Downstream activities</w:t>
      </w:r>
    </w:p>
    <w:p w14:paraId="2C3A3E6A" w14:textId="1C50E7DC" w:rsidR="003F7D36" w:rsidRDefault="003F7D36" w:rsidP="00336556">
      <w:r>
        <w:rPr>
          <w:bCs/>
          <w:lang w:eastAsia="it-IT"/>
        </w:rPr>
        <w:t>Compared to upstream activities, d</w:t>
      </w:r>
      <w:r w:rsidRPr="00336556">
        <w:rPr>
          <w:bCs/>
          <w:lang w:eastAsia="it-IT"/>
        </w:rPr>
        <w:t>ownstream activities</w:t>
      </w:r>
      <w:r w:rsidRPr="00810A15">
        <w:rPr>
          <w:lang w:eastAsia="it-IT"/>
        </w:rPr>
        <w:t xml:space="preserve"> </w:t>
      </w:r>
      <w:r>
        <w:rPr>
          <w:lang w:eastAsia="it-IT"/>
        </w:rPr>
        <w:t>cover</w:t>
      </w:r>
      <w:r w:rsidRPr="00810A15">
        <w:rPr>
          <w:lang w:eastAsia="it-IT"/>
        </w:rPr>
        <w:t xml:space="preserve"> all the remaining segments</w:t>
      </w:r>
      <w:r w:rsidR="0037260F">
        <w:rPr>
          <w:lang w:eastAsia="it-IT"/>
        </w:rPr>
        <w:t xml:space="preserve"> of oil and gas production</w:t>
      </w:r>
      <w:r w:rsidR="00B20B20">
        <w:rPr>
          <w:lang w:eastAsia="it-IT"/>
        </w:rPr>
        <w:t xml:space="preserve"> (after the first point of sale)</w:t>
      </w:r>
      <w:r w:rsidRPr="00810A15">
        <w:rPr>
          <w:lang w:eastAsia="it-IT"/>
        </w:rPr>
        <w:t xml:space="preserve">, </w:t>
      </w:r>
      <w:r w:rsidR="00ED6F34" w:rsidRPr="00810A15">
        <w:rPr>
          <w:lang w:eastAsia="it-IT"/>
        </w:rPr>
        <w:t>including</w:t>
      </w:r>
      <w:r w:rsidRPr="00810A15">
        <w:rPr>
          <w:lang w:eastAsia="it-IT"/>
        </w:rPr>
        <w:t xml:space="preserve"> transportation, distribution, storage, oil refining, chemical and marketing.</w:t>
      </w:r>
    </w:p>
    <w:p w14:paraId="3C6A03D0" w14:textId="01B8DE71" w:rsidR="00AA3F98" w:rsidRPr="00B07C95" w:rsidRDefault="00AA3F98" w:rsidP="001F5AF9">
      <w:pPr>
        <w:pStyle w:val="Heading3"/>
      </w:pPr>
      <w:r w:rsidRPr="00B07C95">
        <w:t>Activity data</w:t>
      </w:r>
    </w:p>
    <w:p w14:paraId="4A211E33" w14:textId="3FA787BF" w:rsidR="00AA3F98" w:rsidRPr="00342DFA" w:rsidRDefault="00AA3F98" w:rsidP="00AA3F98">
      <w:pPr>
        <w:rPr>
          <w:rFonts w:ascii="Calibri" w:eastAsia="Times New Roman" w:hAnsi="Calibri" w:cs="Times New Roman"/>
          <w:szCs w:val="20"/>
          <w:lang w:eastAsia="fr-FR"/>
        </w:rPr>
      </w:pPr>
      <w:r w:rsidRPr="00342DFA">
        <w:rPr>
          <w:rFonts w:ascii="Calibri" w:eastAsia="Times New Roman" w:hAnsi="Calibri" w:cs="Times New Roman"/>
          <w:szCs w:val="20"/>
          <w:lang w:eastAsia="fr-FR"/>
        </w:rPr>
        <w:t xml:space="preserve">Activity data means the data on the </w:t>
      </w:r>
      <w:proofErr w:type="gramStart"/>
      <w:r w:rsidRPr="00342DFA">
        <w:rPr>
          <w:rFonts w:ascii="Calibri" w:eastAsia="Times New Roman" w:hAnsi="Calibri" w:cs="Times New Roman"/>
          <w:szCs w:val="20"/>
          <w:lang w:eastAsia="fr-FR"/>
        </w:rPr>
        <w:t>amount</w:t>
      </w:r>
      <w:proofErr w:type="gramEnd"/>
      <w:r w:rsidRPr="00342DFA">
        <w:rPr>
          <w:rFonts w:ascii="Calibri" w:eastAsia="Times New Roman" w:hAnsi="Calibri" w:cs="Times New Roman"/>
          <w:szCs w:val="20"/>
          <w:lang w:eastAsia="fr-FR"/>
        </w:rPr>
        <w:t xml:space="preserve"> of fuels or materials consumed or produced by a process</w:t>
      </w:r>
      <w:r w:rsidR="000E637C">
        <w:rPr>
          <w:rFonts w:ascii="Calibri" w:eastAsia="Times New Roman" w:hAnsi="Calibri" w:cs="Times New Roman"/>
          <w:szCs w:val="20"/>
          <w:lang w:eastAsia="fr-FR"/>
        </w:rPr>
        <w:t>, the total count of a specific piece of emitting equipment (e.g., pneumatic controllers), the tally of a particular operational activity that occurred (e.g., equipment blowdowns), etc. that are determined to be</w:t>
      </w:r>
      <w:r w:rsidRPr="00342DFA">
        <w:rPr>
          <w:rFonts w:ascii="Calibri" w:eastAsia="Times New Roman" w:hAnsi="Calibri" w:cs="Times New Roman"/>
          <w:szCs w:val="20"/>
          <w:lang w:eastAsia="fr-FR"/>
        </w:rPr>
        <w:t xml:space="preserve"> relevant for the calculation-based monitoring methodology, expressed in appropriate unit, during a given period. For example, the annual activity data for fuel combustion sources are the total amounts of fuel burned</w:t>
      </w:r>
      <w:r>
        <w:rPr>
          <w:rFonts w:ascii="Calibri" w:eastAsia="Times New Roman" w:hAnsi="Calibri" w:cs="Times New Roman"/>
          <w:szCs w:val="20"/>
          <w:lang w:eastAsia="fr-FR"/>
        </w:rPr>
        <w:t xml:space="preserve"> during the year considered</w:t>
      </w:r>
      <w:r w:rsidRPr="00342DFA">
        <w:rPr>
          <w:rFonts w:ascii="Calibri" w:eastAsia="Times New Roman" w:hAnsi="Calibri" w:cs="Times New Roman"/>
          <w:szCs w:val="20"/>
          <w:lang w:eastAsia="fr-FR"/>
        </w:rPr>
        <w:t>.</w:t>
      </w:r>
    </w:p>
    <w:p w14:paraId="739069FC" w14:textId="74378BF5" w:rsidR="00AA3F98" w:rsidRPr="00B07C95" w:rsidRDefault="00AA3F98" w:rsidP="001F5AF9">
      <w:pPr>
        <w:pStyle w:val="Heading3"/>
      </w:pPr>
      <w:r>
        <w:t xml:space="preserve">Point of </w:t>
      </w:r>
      <w:r w:rsidR="00C36384">
        <w:t>s</w:t>
      </w:r>
      <w:r>
        <w:t>ale</w:t>
      </w:r>
    </w:p>
    <w:p w14:paraId="063ED220" w14:textId="77777777" w:rsidR="00AA3F98" w:rsidRDefault="00AA3F98" w:rsidP="00AA3F98">
      <w:pPr>
        <w:rPr>
          <w:rFonts w:ascii="Calibri" w:eastAsia="Times New Roman" w:hAnsi="Calibri" w:cs="Times New Roman"/>
          <w:szCs w:val="20"/>
          <w:lang w:eastAsia="fr-FR"/>
        </w:rPr>
      </w:pPr>
      <w:r w:rsidRPr="00B46B21">
        <w:t>The point of sale (POS) is defined as the place/device of transfer of ownership of the product to the downstream player</w:t>
      </w:r>
      <w:r>
        <w:t xml:space="preserve">, </w:t>
      </w:r>
      <w:r w:rsidRPr="00B46B21">
        <w:t>which may be a third party or a downstream business unit within the same company</w:t>
      </w:r>
      <w:r>
        <w:t>.</w:t>
      </w:r>
    </w:p>
    <w:p w14:paraId="330FC68E" w14:textId="77777777" w:rsidR="00AA3F98" w:rsidRPr="00B07C95" w:rsidRDefault="00AA3F98" w:rsidP="001F5AF9">
      <w:pPr>
        <w:pStyle w:val="Heading3"/>
      </w:pPr>
      <w:r w:rsidRPr="00B07C95">
        <w:t>Categories of GHG emissions</w:t>
      </w:r>
    </w:p>
    <w:p w14:paraId="7F410083" w14:textId="77777777" w:rsidR="00AA3F98" w:rsidRPr="00342DFA" w:rsidRDefault="00AA3F98" w:rsidP="00AA3F98">
      <w:pPr>
        <w:rPr>
          <w:rFonts w:ascii="Calibri" w:eastAsia="Times New Roman" w:hAnsi="Calibri" w:cs="Times New Roman"/>
          <w:szCs w:val="20"/>
          <w:lang w:eastAsia="fr-FR"/>
        </w:rPr>
      </w:pPr>
      <w:r w:rsidRPr="00342DFA">
        <w:rPr>
          <w:rFonts w:ascii="Calibri" w:eastAsia="Times New Roman" w:hAnsi="Calibri" w:cs="Times New Roman"/>
          <w:szCs w:val="20"/>
          <w:lang w:eastAsia="fr-FR"/>
        </w:rPr>
        <w:t>The GHG emissions can be classified, accordingly with the definitions used by IPIECA</w:t>
      </w:r>
      <w:r w:rsidRPr="00342DFA">
        <w:rPr>
          <w:rFonts w:ascii="Calibri" w:eastAsia="Times New Roman" w:hAnsi="Calibri" w:cs="Times New Roman"/>
          <w:vertAlign w:val="superscript"/>
          <w:lang w:eastAsia="fr-FR"/>
        </w:rPr>
        <w:footnoteReference w:id="2"/>
      </w:r>
      <w:r w:rsidRPr="00342DFA">
        <w:rPr>
          <w:rFonts w:ascii="Calibri" w:eastAsia="Times New Roman" w:hAnsi="Calibri" w:cs="Times New Roman"/>
          <w:szCs w:val="20"/>
          <w:lang w:eastAsia="fr-FR"/>
        </w:rPr>
        <w:t>, as follow:</w:t>
      </w:r>
    </w:p>
    <w:p w14:paraId="7BBD9401" w14:textId="53BD1EAC" w:rsidR="00AA3F98" w:rsidRPr="00342DFA" w:rsidRDefault="00AA3F98" w:rsidP="006806B4">
      <w:pPr>
        <w:numPr>
          <w:ilvl w:val="0"/>
          <w:numId w:val="1"/>
        </w:numPr>
        <w:contextualSpacing/>
        <w:rPr>
          <w:rFonts w:ascii="Calibri" w:eastAsia="Times New Roman" w:hAnsi="Calibri" w:cs="Times New Roman"/>
          <w:szCs w:val="20"/>
          <w:lang w:eastAsia="fr-FR"/>
        </w:rPr>
      </w:pPr>
      <w:r w:rsidRPr="00342DFA">
        <w:rPr>
          <w:rFonts w:ascii="Calibri" w:eastAsia="Times New Roman" w:hAnsi="Calibri" w:cs="Times New Roman"/>
          <w:b/>
          <w:szCs w:val="20"/>
          <w:lang w:eastAsia="fr-FR"/>
        </w:rPr>
        <w:t xml:space="preserve">Direct GHG </w:t>
      </w:r>
      <w:r w:rsidR="00C36384">
        <w:rPr>
          <w:rFonts w:ascii="Calibri" w:eastAsia="Times New Roman" w:hAnsi="Calibri" w:cs="Times New Roman"/>
          <w:b/>
          <w:szCs w:val="20"/>
          <w:lang w:eastAsia="fr-FR"/>
        </w:rPr>
        <w:t>e</w:t>
      </w:r>
      <w:r w:rsidRPr="00342DFA">
        <w:rPr>
          <w:rFonts w:ascii="Calibri" w:eastAsia="Times New Roman" w:hAnsi="Calibri" w:cs="Times New Roman"/>
          <w:b/>
          <w:szCs w:val="20"/>
          <w:lang w:eastAsia="fr-FR"/>
        </w:rPr>
        <w:t xml:space="preserve">missions: </w:t>
      </w:r>
      <w:r w:rsidRPr="00342DFA">
        <w:rPr>
          <w:rFonts w:ascii="Calibri" w:eastAsia="Times New Roman" w:hAnsi="Calibri" w:cs="Times New Roman"/>
          <w:szCs w:val="20"/>
          <w:lang w:eastAsia="fr-FR"/>
        </w:rPr>
        <w:t xml:space="preserve">Emissions from sources at a facility owned (partly or wholly) and/or operated by the company, such as emissions from combustion in boilers or furnaces </w:t>
      </w:r>
      <w:r>
        <w:rPr>
          <w:rFonts w:ascii="Calibri" w:eastAsia="Times New Roman" w:hAnsi="Calibri" w:cs="Times New Roman"/>
          <w:szCs w:val="20"/>
          <w:lang w:eastAsia="fr-FR"/>
        </w:rPr>
        <w:t>(</w:t>
      </w:r>
      <w:r w:rsidR="00F905DE">
        <w:rPr>
          <w:rFonts w:ascii="Calibri" w:eastAsia="Times New Roman" w:hAnsi="Calibri" w:cs="Times New Roman"/>
          <w:szCs w:val="20"/>
          <w:lang w:eastAsia="fr-FR"/>
        </w:rPr>
        <w:t>S</w:t>
      </w:r>
      <w:r>
        <w:rPr>
          <w:rFonts w:ascii="Calibri" w:eastAsia="Times New Roman" w:hAnsi="Calibri" w:cs="Times New Roman"/>
          <w:szCs w:val="20"/>
          <w:lang w:eastAsia="fr-FR"/>
        </w:rPr>
        <w:t>cope 1</w:t>
      </w:r>
      <w:r w:rsidR="00625AAE">
        <w:rPr>
          <w:rFonts w:ascii="Calibri" w:eastAsia="Times New Roman" w:hAnsi="Calibri" w:cs="Times New Roman"/>
          <w:szCs w:val="20"/>
          <w:lang w:eastAsia="fr-FR"/>
        </w:rPr>
        <w:t xml:space="preserve"> emissions</w:t>
      </w:r>
      <w:r>
        <w:rPr>
          <w:rFonts w:ascii="Calibri" w:eastAsia="Times New Roman" w:hAnsi="Calibri" w:cs="Times New Roman"/>
          <w:szCs w:val="20"/>
          <w:lang w:eastAsia="fr-FR"/>
        </w:rPr>
        <w:t>)</w:t>
      </w:r>
      <w:r w:rsidR="00F905DE">
        <w:rPr>
          <w:rFonts w:ascii="Calibri" w:eastAsia="Times New Roman" w:hAnsi="Calibri" w:cs="Times New Roman"/>
          <w:szCs w:val="20"/>
          <w:lang w:eastAsia="fr-FR"/>
        </w:rPr>
        <w:t>.</w:t>
      </w:r>
    </w:p>
    <w:p w14:paraId="32E3D24A" w14:textId="75DFC02C" w:rsidR="00AA3F98" w:rsidRPr="00342DFA" w:rsidRDefault="00AA3F98" w:rsidP="006806B4">
      <w:pPr>
        <w:numPr>
          <w:ilvl w:val="0"/>
          <w:numId w:val="1"/>
        </w:numPr>
        <w:contextualSpacing/>
        <w:rPr>
          <w:rFonts w:ascii="Calibri" w:eastAsia="Times New Roman" w:hAnsi="Calibri" w:cs="Times New Roman"/>
          <w:szCs w:val="20"/>
          <w:lang w:eastAsia="fr-FR"/>
        </w:rPr>
      </w:pPr>
      <w:r w:rsidRPr="00342DFA">
        <w:rPr>
          <w:rFonts w:ascii="Calibri" w:eastAsia="Times New Roman" w:hAnsi="Calibri" w:cs="Times New Roman"/>
          <w:b/>
          <w:szCs w:val="20"/>
          <w:lang w:eastAsia="fr-FR"/>
        </w:rPr>
        <w:t xml:space="preserve">Indirect GHG </w:t>
      </w:r>
      <w:r w:rsidR="00C36384">
        <w:rPr>
          <w:rFonts w:ascii="Calibri" w:eastAsia="Times New Roman" w:hAnsi="Calibri" w:cs="Times New Roman"/>
          <w:b/>
          <w:szCs w:val="20"/>
          <w:lang w:eastAsia="fr-FR"/>
        </w:rPr>
        <w:t>e</w:t>
      </w:r>
      <w:r w:rsidRPr="00342DFA">
        <w:rPr>
          <w:rFonts w:ascii="Calibri" w:eastAsia="Times New Roman" w:hAnsi="Calibri" w:cs="Times New Roman"/>
          <w:b/>
          <w:szCs w:val="20"/>
          <w:lang w:eastAsia="fr-FR"/>
        </w:rPr>
        <w:t xml:space="preserve">missions from imported energy: </w:t>
      </w:r>
      <w:r w:rsidRPr="00342DFA">
        <w:rPr>
          <w:rFonts w:ascii="Calibri" w:eastAsia="Times New Roman" w:hAnsi="Calibri" w:cs="Times New Roman"/>
          <w:szCs w:val="20"/>
          <w:lang w:eastAsia="fr-FR"/>
        </w:rPr>
        <w:t>GHG emissions that occur at the point of energy generation (owned or operated by a third party) for electricity, heat or steam imported (</w:t>
      </w:r>
      <w:proofErr w:type="gramStart"/>
      <w:r w:rsidRPr="00342DFA">
        <w:rPr>
          <w:rFonts w:ascii="Calibri" w:eastAsia="Times New Roman" w:hAnsi="Calibri" w:cs="Times New Roman"/>
          <w:szCs w:val="20"/>
          <w:lang w:eastAsia="fr-FR"/>
        </w:rPr>
        <w:t>i.e.</w:t>
      </w:r>
      <w:proofErr w:type="gramEnd"/>
      <w:r w:rsidRPr="00342DFA">
        <w:rPr>
          <w:rFonts w:ascii="Calibri" w:eastAsia="Times New Roman" w:hAnsi="Calibri" w:cs="Times New Roman"/>
          <w:szCs w:val="20"/>
          <w:lang w:eastAsia="fr-FR"/>
        </w:rPr>
        <w:t xml:space="preserve"> purchased) for use on site by the reporting entity. These are also called Scope 2 emissions.</w:t>
      </w:r>
    </w:p>
    <w:p w14:paraId="69073852" w14:textId="69FFB74E" w:rsidR="00AA3F98" w:rsidRPr="00342DFA" w:rsidRDefault="00AA3F98" w:rsidP="006806B4">
      <w:pPr>
        <w:numPr>
          <w:ilvl w:val="0"/>
          <w:numId w:val="1"/>
        </w:numPr>
        <w:contextualSpacing/>
        <w:rPr>
          <w:rFonts w:ascii="Calibri" w:eastAsia="Times New Roman" w:hAnsi="Calibri" w:cs="Times New Roman"/>
          <w:szCs w:val="20"/>
          <w:lang w:eastAsia="fr-FR"/>
        </w:rPr>
      </w:pPr>
      <w:r w:rsidRPr="00342DFA">
        <w:rPr>
          <w:rFonts w:ascii="Calibri" w:eastAsia="Times New Roman" w:hAnsi="Calibri" w:cs="Times New Roman"/>
          <w:b/>
          <w:szCs w:val="20"/>
          <w:lang w:eastAsia="fr-FR"/>
        </w:rPr>
        <w:t xml:space="preserve">Other </w:t>
      </w:r>
      <w:r w:rsidR="00C36384">
        <w:rPr>
          <w:rFonts w:ascii="Calibri" w:eastAsia="Times New Roman" w:hAnsi="Calibri" w:cs="Times New Roman"/>
          <w:b/>
          <w:szCs w:val="20"/>
          <w:lang w:eastAsia="fr-FR"/>
        </w:rPr>
        <w:t>i</w:t>
      </w:r>
      <w:r w:rsidRPr="00342DFA">
        <w:rPr>
          <w:rFonts w:ascii="Calibri" w:eastAsia="Times New Roman" w:hAnsi="Calibri" w:cs="Times New Roman"/>
          <w:b/>
          <w:szCs w:val="20"/>
          <w:lang w:eastAsia="fr-FR"/>
        </w:rPr>
        <w:t xml:space="preserve">ndirect </w:t>
      </w:r>
      <w:r w:rsidR="00C36384">
        <w:rPr>
          <w:rFonts w:ascii="Calibri" w:eastAsia="Times New Roman" w:hAnsi="Calibri" w:cs="Times New Roman"/>
          <w:b/>
          <w:szCs w:val="20"/>
          <w:lang w:eastAsia="fr-FR"/>
        </w:rPr>
        <w:t>e</w:t>
      </w:r>
      <w:r w:rsidRPr="00342DFA">
        <w:rPr>
          <w:rFonts w:ascii="Calibri" w:eastAsia="Times New Roman" w:hAnsi="Calibri" w:cs="Times New Roman"/>
          <w:b/>
          <w:szCs w:val="20"/>
          <w:lang w:eastAsia="fr-FR"/>
        </w:rPr>
        <w:t>missions:</w:t>
      </w:r>
      <w:r w:rsidRPr="00342DFA">
        <w:rPr>
          <w:rFonts w:ascii="Calibri" w:eastAsia="Times New Roman" w:hAnsi="Calibri" w:cs="Times New Roman"/>
          <w:szCs w:val="20"/>
          <w:lang w:eastAsia="fr-FR"/>
        </w:rPr>
        <w:t xml:space="preserve"> all indirect emissions (also called Scope 3 emissions) other than those from imported energy. Examples of Scope 3 </w:t>
      </w:r>
      <w:r w:rsidR="00625AAE">
        <w:rPr>
          <w:rFonts w:ascii="Calibri" w:eastAsia="Times New Roman" w:hAnsi="Calibri" w:cs="Times New Roman"/>
          <w:szCs w:val="20"/>
          <w:lang w:eastAsia="fr-FR"/>
        </w:rPr>
        <w:t>emissions</w:t>
      </w:r>
      <w:r w:rsidR="00625AAE" w:rsidRPr="00342DFA">
        <w:rPr>
          <w:rFonts w:ascii="Calibri" w:eastAsia="Times New Roman" w:hAnsi="Calibri" w:cs="Times New Roman"/>
          <w:szCs w:val="20"/>
          <w:lang w:eastAsia="fr-FR"/>
        </w:rPr>
        <w:t xml:space="preserve"> </w:t>
      </w:r>
      <w:r w:rsidRPr="00342DFA">
        <w:rPr>
          <w:rFonts w:ascii="Calibri" w:eastAsia="Times New Roman" w:hAnsi="Calibri" w:cs="Times New Roman"/>
          <w:szCs w:val="20"/>
          <w:lang w:eastAsia="fr-FR"/>
        </w:rPr>
        <w:t xml:space="preserve">include </w:t>
      </w:r>
      <w:r w:rsidR="00625AAE">
        <w:rPr>
          <w:rFonts w:ascii="Calibri" w:eastAsia="Times New Roman" w:hAnsi="Calibri" w:cs="Times New Roman"/>
          <w:szCs w:val="20"/>
          <w:lang w:eastAsia="fr-FR"/>
        </w:rPr>
        <w:t xml:space="preserve">those associated with the </w:t>
      </w:r>
      <w:r w:rsidRPr="00342DFA">
        <w:rPr>
          <w:rFonts w:ascii="Calibri" w:eastAsia="Times New Roman" w:hAnsi="Calibri" w:cs="Times New Roman"/>
          <w:szCs w:val="20"/>
          <w:lang w:eastAsia="fr-FR"/>
        </w:rPr>
        <w:t xml:space="preserve">extraction and production of purchased materials, transport of purchased fuels, and from use of </w:t>
      </w:r>
      <w:r w:rsidR="00625AAE">
        <w:rPr>
          <w:rFonts w:ascii="Calibri" w:eastAsia="Times New Roman" w:hAnsi="Calibri" w:cs="Times New Roman"/>
          <w:szCs w:val="20"/>
          <w:lang w:eastAsia="fr-FR"/>
        </w:rPr>
        <w:t xml:space="preserve">a company’s </w:t>
      </w:r>
      <w:r w:rsidRPr="00342DFA">
        <w:rPr>
          <w:rFonts w:ascii="Calibri" w:eastAsia="Times New Roman" w:hAnsi="Calibri" w:cs="Times New Roman"/>
          <w:szCs w:val="20"/>
          <w:lang w:eastAsia="fr-FR"/>
        </w:rPr>
        <w:t>products and services.</w:t>
      </w:r>
    </w:p>
    <w:p w14:paraId="5508A104" w14:textId="77777777" w:rsidR="00AA3F98" w:rsidRPr="00B07C95" w:rsidRDefault="00AA3F98" w:rsidP="001F5AF9">
      <w:pPr>
        <w:pStyle w:val="Heading3"/>
      </w:pPr>
      <w:r w:rsidRPr="00B07C95">
        <w:t>Global Warming Potentials (GWPs)</w:t>
      </w:r>
    </w:p>
    <w:p w14:paraId="471600A0" w14:textId="0874B0B0" w:rsidR="00AA3F98" w:rsidRPr="00342DFA" w:rsidRDefault="00AA3F98" w:rsidP="00AA3F98">
      <w:pPr>
        <w:rPr>
          <w:rFonts w:ascii="Calibri" w:eastAsia="Calibri" w:hAnsi="Calibri" w:cs="Times New Roman"/>
          <w:szCs w:val="20"/>
          <w:lang w:eastAsia="fr-FR"/>
        </w:rPr>
      </w:pPr>
      <w:r w:rsidRPr="00342DFA">
        <w:rPr>
          <w:rFonts w:ascii="Calibri" w:eastAsia="Calibri" w:hAnsi="Calibri" w:cs="Times New Roman"/>
          <w:szCs w:val="20"/>
          <w:lang w:eastAsia="fr-FR"/>
        </w:rPr>
        <w:t>The Global Warming Potential (GWP) measures the abilities of different greenhouse gases to trap heat in the atmosphere. The GWP of GHGs that are commonly emitted by the energy sector projects is provided in</w:t>
      </w:r>
      <w:r w:rsidR="00E5303B">
        <w:rPr>
          <w:rFonts w:ascii="Calibri" w:eastAsia="Calibri" w:hAnsi="Calibri" w:cs="Times New Roman"/>
          <w:szCs w:val="20"/>
          <w:lang w:eastAsia="fr-FR"/>
        </w:rPr>
        <w:t xml:space="preserve"> </w:t>
      </w:r>
      <w:r w:rsidR="007012D9">
        <w:rPr>
          <w:rFonts w:ascii="Calibri" w:eastAsia="Calibri" w:hAnsi="Calibri" w:cs="Times New Roman"/>
          <w:szCs w:val="20"/>
          <w:lang w:eastAsia="fr-FR"/>
        </w:rPr>
        <w:t xml:space="preserve">Appendix </w:t>
      </w:r>
      <w:proofErr w:type="gramStart"/>
      <w:r w:rsidR="00367FAC">
        <w:rPr>
          <w:rFonts w:ascii="Calibri" w:eastAsia="Calibri" w:hAnsi="Calibri" w:cs="Times New Roman"/>
          <w:szCs w:val="20"/>
          <w:lang w:eastAsia="fr-FR"/>
        </w:rPr>
        <w:t xml:space="preserve">B </w:t>
      </w:r>
      <w:r w:rsidRPr="00342DFA">
        <w:rPr>
          <w:rFonts w:ascii="Calibri" w:eastAsia="Calibri" w:hAnsi="Calibri" w:cs="Times New Roman"/>
          <w:szCs w:val="20"/>
          <w:lang w:eastAsia="fr-FR"/>
        </w:rPr>
        <w:t>.</w:t>
      </w:r>
      <w:proofErr w:type="gramEnd"/>
      <w:r w:rsidRPr="00342DFA">
        <w:rPr>
          <w:rFonts w:ascii="Calibri" w:eastAsia="Calibri" w:hAnsi="Calibri" w:cs="Times New Roman"/>
          <w:szCs w:val="20"/>
          <w:lang w:eastAsia="fr-FR"/>
        </w:rPr>
        <w:t xml:space="preserve"> As there are several individual gases covered under some of the categories, all of those have not been provided. For further details, please refer to values provided by Intergovernmental Panel on Climate Change (IPCC)</w:t>
      </w:r>
      <w:r w:rsidRPr="00342DFA">
        <w:rPr>
          <w:rFonts w:ascii="Calibri" w:eastAsia="Calibri" w:hAnsi="Calibri" w:cs="Times New Roman"/>
          <w:szCs w:val="20"/>
          <w:vertAlign w:val="superscript"/>
          <w:lang w:eastAsia="fr-FR"/>
        </w:rPr>
        <w:footnoteReference w:id="3"/>
      </w:r>
      <w:r w:rsidRPr="00342DFA">
        <w:rPr>
          <w:rFonts w:ascii="Calibri" w:eastAsia="Calibri" w:hAnsi="Calibri" w:cs="Times New Roman"/>
          <w:szCs w:val="20"/>
          <w:lang w:eastAsia="fr-FR"/>
        </w:rPr>
        <w:t xml:space="preserve">. </w:t>
      </w:r>
    </w:p>
    <w:p w14:paraId="3222E2BA" w14:textId="77777777" w:rsidR="00AA3F98" w:rsidRPr="00B07C95" w:rsidRDefault="00AA3F98" w:rsidP="001F5AF9">
      <w:pPr>
        <w:pStyle w:val="Heading3"/>
      </w:pPr>
      <w:r w:rsidRPr="00B07C95">
        <w:t>Calculation factor</w:t>
      </w:r>
      <w:r>
        <w:t>s</w:t>
      </w:r>
    </w:p>
    <w:p w14:paraId="7F60C2EC" w14:textId="50E239E1" w:rsidR="00AA3F98" w:rsidRPr="00342DFA" w:rsidRDefault="00AA3F98" w:rsidP="00AA3F98">
      <w:pPr>
        <w:rPr>
          <w:rFonts w:ascii="Calibri" w:eastAsia="Times New Roman" w:hAnsi="Calibri" w:cs="Times New Roman"/>
          <w:szCs w:val="20"/>
          <w:lang w:eastAsia="fr-FR"/>
        </w:rPr>
      </w:pPr>
      <w:r w:rsidRPr="00342DFA">
        <w:rPr>
          <w:rFonts w:ascii="Calibri" w:eastAsia="Times New Roman" w:hAnsi="Calibri" w:cs="Times New Roman"/>
          <w:szCs w:val="20"/>
          <w:lang w:eastAsia="fr-FR"/>
        </w:rPr>
        <w:t xml:space="preserve">Calculation factors </w:t>
      </w:r>
      <w:r w:rsidR="00422374">
        <w:rPr>
          <w:rFonts w:ascii="Calibri" w:eastAsia="Times New Roman" w:hAnsi="Calibri" w:cs="Times New Roman"/>
          <w:szCs w:val="20"/>
          <w:lang w:eastAsia="fr-FR"/>
        </w:rPr>
        <w:t>concern</w:t>
      </w:r>
      <w:r w:rsidR="00422374" w:rsidRPr="00342DFA">
        <w:rPr>
          <w:rFonts w:ascii="Calibri" w:eastAsia="Times New Roman" w:hAnsi="Calibri" w:cs="Times New Roman"/>
          <w:szCs w:val="20"/>
          <w:lang w:eastAsia="fr-FR"/>
        </w:rPr>
        <w:t xml:space="preserve"> </w:t>
      </w:r>
      <w:r w:rsidRPr="00342DFA">
        <w:rPr>
          <w:rFonts w:ascii="Calibri" w:eastAsia="Times New Roman" w:hAnsi="Calibri" w:cs="Times New Roman"/>
          <w:szCs w:val="20"/>
          <w:lang w:eastAsia="fr-FR"/>
        </w:rPr>
        <w:t>net calorific value, emission factor, oxidation factor, conversion factor and design parameter</w:t>
      </w:r>
      <w:r>
        <w:rPr>
          <w:rFonts w:ascii="Calibri" w:eastAsia="Times New Roman" w:hAnsi="Calibri" w:cs="Times New Roman"/>
          <w:szCs w:val="20"/>
          <w:lang w:eastAsia="fr-FR"/>
        </w:rPr>
        <w:t>.</w:t>
      </w:r>
    </w:p>
    <w:p w14:paraId="3E22D145" w14:textId="656B53B9" w:rsidR="00AA3F98" w:rsidRPr="00342DFA" w:rsidRDefault="00AA3F98" w:rsidP="0035559C">
      <w:pPr>
        <w:pStyle w:val="ListParagraph"/>
        <w:numPr>
          <w:ilvl w:val="0"/>
          <w:numId w:val="12"/>
        </w:numPr>
        <w:rPr>
          <w:lang w:eastAsia="fr-FR"/>
        </w:rPr>
      </w:pPr>
      <w:r w:rsidRPr="003A4D4C">
        <w:rPr>
          <w:b/>
          <w:bCs/>
        </w:rPr>
        <w:t>Net calorific value</w:t>
      </w:r>
      <w:r>
        <w:t xml:space="preserve">: </w:t>
      </w:r>
      <w:r w:rsidRPr="00342DFA">
        <w:rPr>
          <w:lang w:eastAsia="fr-FR"/>
        </w:rPr>
        <w:t>Net calorific value (NCV) means the specific amount of energy released as heat when a fuel or material undergoes complete combustion with oxygen under standard conditions less the heat of vaporisation of any water formed</w:t>
      </w:r>
      <w:r w:rsidR="007556D9">
        <w:rPr>
          <w:lang w:eastAsia="fr-FR"/>
        </w:rPr>
        <w:t>. The NCV is also known as the lower heating value (LHV).</w:t>
      </w:r>
    </w:p>
    <w:p w14:paraId="58C30F85" w14:textId="11D35784" w:rsidR="00AA3F98" w:rsidRPr="00342DFA" w:rsidRDefault="00AA3F98" w:rsidP="0035559C">
      <w:pPr>
        <w:pStyle w:val="ListParagraph"/>
        <w:numPr>
          <w:ilvl w:val="0"/>
          <w:numId w:val="12"/>
        </w:numPr>
        <w:rPr>
          <w:lang w:eastAsia="fr-FR"/>
        </w:rPr>
      </w:pPr>
      <w:r w:rsidRPr="003A4D4C">
        <w:rPr>
          <w:b/>
          <w:bCs/>
        </w:rPr>
        <w:t>Emission factor</w:t>
      </w:r>
      <w:r>
        <w:t xml:space="preserve">: </w:t>
      </w:r>
      <w:r w:rsidRPr="00342DFA">
        <w:rPr>
          <w:lang w:eastAsia="fr-FR"/>
        </w:rPr>
        <w:t>Emission factor is a coefficient that relates the activity data to the amount of chemical compound which is the source of later emissions. Emission factors are often based on sample data, averaged to develop a representative rate of emission for a given activity level under a given set of operating conditions.</w:t>
      </w:r>
    </w:p>
    <w:p w14:paraId="4E3737C8" w14:textId="2E4DF8F8" w:rsidR="00AA3F98" w:rsidRPr="00342DFA" w:rsidRDefault="00AA3F98" w:rsidP="0035559C">
      <w:pPr>
        <w:pStyle w:val="ListParagraph"/>
        <w:numPr>
          <w:ilvl w:val="0"/>
          <w:numId w:val="12"/>
        </w:numPr>
        <w:rPr>
          <w:lang w:eastAsia="fr-FR"/>
        </w:rPr>
      </w:pPr>
      <w:r w:rsidRPr="003A4D4C">
        <w:rPr>
          <w:b/>
          <w:bCs/>
        </w:rPr>
        <w:t>Oxidation factor</w:t>
      </w:r>
      <w:r>
        <w:t xml:space="preserve">: </w:t>
      </w:r>
      <w:r w:rsidRPr="00342DFA">
        <w:rPr>
          <w:lang w:eastAsia="fr-FR"/>
        </w:rPr>
        <w:t>Oxidation factor means the ratio of carbon oxidised to CO</w:t>
      </w:r>
      <w:r w:rsidRPr="00165395">
        <w:rPr>
          <w:vertAlign w:val="subscript"/>
          <w:lang w:eastAsia="fr-FR"/>
        </w:rPr>
        <w:t>2</w:t>
      </w:r>
      <w:r w:rsidRPr="00342DFA">
        <w:rPr>
          <w:lang w:eastAsia="fr-FR"/>
        </w:rPr>
        <w:t xml:space="preserve"> </w:t>
      </w:r>
      <w:proofErr w:type="gramStart"/>
      <w:r w:rsidRPr="00342DFA">
        <w:rPr>
          <w:lang w:eastAsia="fr-FR"/>
        </w:rPr>
        <w:t>as a consequence of</w:t>
      </w:r>
      <w:proofErr w:type="gramEnd"/>
      <w:r w:rsidRPr="00342DFA">
        <w:rPr>
          <w:lang w:eastAsia="fr-FR"/>
        </w:rPr>
        <w:t xml:space="preserve"> combustion to the total carbon contained in the fuel, expressed as a fraction, considering CO emitted to the atmosphere as the molar equivalent amount of CO</w:t>
      </w:r>
      <w:r w:rsidRPr="00165395">
        <w:rPr>
          <w:vertAlign w:val="subscript"/>
          <w:lang w:eastAsia="fr-FR"/>
        </w:rPr>
        <w:t>2</w:t>
      </w:r>
      <w:r w:rsidRPr="00342DFA">
        <w:rPr>
          <w:lang w:eastAsia="fr-FR"/>
        </w:rPr>
        <w:t xml:space="preserve">. To simplify the approach, it </w:t>
      </w:r>
      <w:r>
        <w:rPr>
          <w:lang w:eastAsia="fr-FR"/>
        </w:rPr>
        <w:t>can</w:t>
      </w:r>
      <w:r w:rsidRPr="00342DFA">
        <w:rPr>
          <w:lang w:eastAsia="fr-FR"/>
        </w:rPr>
        <w:t xml:space="preserve"> be considered an oxidation factor equal to 1 in all calculation</w:t>
      </w:r>
      <w:r>
        <w:rPr>
          <w:lang w:eastAsia="fr-FR"/>
        </w:rPr>
        <w:t xml:space="preserve"> of CO2 emissions; however, for estimating methane emissions from incomplete combustion (</w:t>
      </w:r>
      <w:proofErr w:type="gramStart"/>
      <w:r>
        <w:rPr>
          <w:lang w:eastAsia="fr-FR"/>
        </w:rPr>
        <w:t>e.g.</w:t>
      </w:r>
      <w:proofErr w:type="gramEnd"/>
      <w:r>
        <w:rPr>
          <w:lang w:eastAsia="fr-FR"/>
        </w:rPr>
        <w:t xml:space="preserve"> flaring), </w:t>
      </w:r>
      <w:r w:rsidR="00830219">
        <w:rPr>
          <w:lang w:eastAsia="fr-FR"/>
        </w:rPr>
        <w:lastRenderedPageBreak/>
        <w:t xml:space="preserve">the </w:t>
      </w:r>
      <w:r>
        <w:rPr>
          <w:lang w:eastAsia="fr-FR"/>
        </w:rPr>
        <w:t>oxidation factor need</w:t>
      </w:r>
      <w:r w:rsidR="00830219">
        <w:rPr>
          <w:lang w:eastAsia="fr-FR"/>
        </w:rPr>
        <w:t>s</w:t>
      </w:r>
      <w:r>
        <w:rPr>
          <w:lang w:eastAsia="fr-FR"/>
        </w:rPr>
        <w:t xml:space="preserve"> to be assumed lower than 1 (value selected according with the source and/or regulatory requirements).</w:t>
      </w:r>
    </w:p>
    <w:p w14:paraId="3763E506" w14:textId="77777777" w:rsidR="00AA3F98" w:rsidRPr="00B07C95" w:rsidRDefault="00AA3F98" w:rsidP="001F5AF9">
      <w:pPr>
        <w:pStyle w:val="Heading3"/>
      </w:pPr>
      <w:r w:rsidRPr="00B07C95">
        <w:t>Design parameter</w:t>
      </w:r>
    </w:p>
    <w:p w14:paraId="0E55EA34" w14:textId="77777777" w:rsidR="00AA3F98" w:rsidRPr="0033435D" w:rsidRDefault="00AA3F98" w:rsidP="00AA3F98">
      <w:pPr>
        <w:rPr>
          <w:rFonts w:ascii="Calibri" w:eastAsia="Times New Roman" w:hAnsi="Calibri" w:cs="Times New Roman"/>
          <w:szCs w:val="20"/>
          <w:lang w:eastAsia="fr-FR"/>
        </w:rPr>
      </w:pPr>
      <w:r w:rsidRPr="00B07C95">
        <w:rPr>
          <w:rFonts w:ascii="Calibri" w:eastAsia="Times New Roman" w:hAnsi="Calibri" w:cs="Times New Roman"/>
          <w:szCs w:val="20"/>
          <w:lang w:eastAsia="fr-FR"/>
        </w:rPr>
        <w:t xml:space="preserve">Design </w:t>
      </w:r>
      <w:r w:rsidRPr="0033435D">
        <w:rPr>
          <w:rFonts w:ascii="Calibri" w:eastAsia="Times New Roman" w:hAnsi="Calibri" w:cs="Times New Roman"/>
          <w:szCs w:val="20"/>
          <w:lang w:eastAsia="fr-FR"/>
        </w:rPr>
        <w:t>parameter is the information provided by the manufacturer of the device (instrument, pump, generator, etc.) providing ratio or efficiency allowing to estimate an indicator.</w:t>
      </w:r>
    </w:p>
    <w:p w14:paraId="11068A43" w14:textId="77777777" w:rsidR="00AA3F98" w:rsidRPr="00B07C95" w:rsidRDefault="00AA3F98" w:rsidP="001F5AF9">
      <w:pPr>
        <w:pStyle w:val="Heading3"/>
      </w:pPr>
      <w:r w:rsidRPr="0033435D">
        <w:t>Uncertainty</w:t>
      </w:r>
    </w:p>
    <w:p w14:paraId="42F2D6C0" w14:textId="12280973" w:rsidR="00AA3F98" w:rsidRDefault="00AA3F98" w:rsidP="00AA3F98">
      <w:pPr>
        <w:rPr>
          <w:rFonts w:ascii="Calibri" w:eastAsia="Times New Roman" w:hAnsi="Calibri" w:cs="Times New Roman"/>
          <w:szCs w:val="20"/>
          <w:lang w:eastAsia="fr-FR"/>
        </w:rPr>
      </w:pPr>
      <w:r w:rsidRPr="00342DFA">
        <w:rPr>
          <w:rFonts w:ascii="Calibri" w:eastAsia="Times New Roman" w:hAnsi="Calibri" w:cs="Times New Roman"/>
          <w:szCs w:val="20"/>
          <w:lang w:eastAsia="fr-FR"/>
        </w:rPr>
        <w:t xml:space="preserve">Uncertainty means a parameter, associated with the result of the determination of a quantity, that characterises the dispersion of the values that could reasonably be attributed to the </w:t>
      </w:r>
      <w:proofErr w:type="gramStart"/>
      <w:r w:rsidRPr="00342DFA">
        <w:rPr>
          <w:rFonts w:ascii="Calibri" w:eastAsia="Times New Roman" w:hAnsi="Calibri" w:cs="Times New Roman"/>
          <w:szCs w:val="20"/>
          <w:lang w:eastAsia="fr-FR"/>
        </w:rPr>
        <w:t>particular quantity</w:t>
      </w:r>
      <w:proofErr w:type="gramEnd"/>
      <w:r w:rsidRPr="00342DFA">
        <w:rPr>
          <w:rFonts w:ascii="Calibri" w:eastAsia="Times New Roman" w:hAnsi="Calibri" w:cs="Times New Roman"/>
          <w:szCs w:val="20"/>
          <w:lang w:eastAsia="fr-FR"/>
        </w:rPr>
        <w:t>, including the effects of systematic as well as of random factors, expressed in per cent, and describes a confidence interval around the mean value comprising 95 % of inferred values.</w:t>
      </w:r>
    </w:p>
    <w:p w14:paraId="7DB20432" w14:textId="4D9649C2" w:rsidR="00080D96" w:rsidRPr="00B07C95" w:rsidRDefault="00080D96" w:rsidP="001F5AF9">
      <w:pPr>
        <w:pStyle w:val="Heading1"/>
      </w:pPr>
      <w:bookmarkStart w:id="9" w:name="_Toc97226717"/>
      <w:r w:rsidRPr="00B07C95">
        <w:t>Reporting perimeter and consolidation rules</w:t>
      </w:r>
      <w:bookmarkEnd w:id="9"/>
    </w:p>
    <w:p w14:paraId="3157DCB7" w14:textId="77777777" w:rsidR="00080D96" w:rsidRPr="00342DFA" w:rsidRDefault="00080D96" w:rsidP="00165395">
      <w:pPr>
        <w:rPr>
          <w:lang w:eastAsia="fr-FR"/>
        </w:rPr>
      </w:pPr>
      <w:r w:rsidRPr="00342DFA">
        <w:rPr>
          <w:lang w:eastAsia="fr-FR"/>
        </w:rPr>
        <w:t>Companies should report according to a current perimeter basis, as described below.</w:t>
      </w:r>
    </w:p>
    <w:p w14:paraId="12BB1759" w14:textId="77777777" w:rsidR="00080D96" w:rsidRPr="00B07C95" w:rsidRDefault="00080D96" w:rsidP="001F5AF9">
      <w:pPr>
        <w:pStyle w:val="Heading3"/>
      </w:pPr>
      <w:r w:rsidRPr="00B07C95">
        <w:t>Divestment and acquisition</w:t>
      </w:r>
    </w:p>
    <w:p w14:paraId="2E7B7405" w14:textId="039D113B" w:rsidR="00080D96" w:rsidRPr="00342DFA" w:rsidRDefault="00080D96">
      <w:pPr>
        <w:rPr>
          <w:lang w:eastAsia="fr-FR"/>
        </w:rPr>
      </w:pPr>
      <w:r w:rsidRPr="00B07C95">
        <w:rPr>
          <w:lang w:eastAsia="fr-FR"/>
        </w:rPr>
        <w:t>In the case of a</w:t>
      </w:r>
      <w:r w:rsidRPr="00342DFA">
        <w:rPr>
          <w:lang w:eastAsia="fr-FR"/>
        </w:rPr>
        <w:t xml:space="preserve">n entity sold during the </w:t>
      </w:r>
      <w:r w:rsidR="00BE7B86">
        <w:rPr>
          <w:lang w:eastAsia="fr-FR"/>
        </w:rPr>
        <w:t xml:space="preserve">reporting </w:t>
      </w:r>
      <w:r w:rsidRPr="00342DFA">
        <w:rPr>
          <w:lang w:eastAsia="fr-FR"/>
        </w:rPr>
        <w:t>year, the indicators of the entity should be reported until the date of sale. The entity will be removed from the perimeter the following year.</w:t>
      </w:r>
    </w:p>
    <w:p w14:paraId="511EB09E" w14:textId="785A454A" w:rsidR="00080D96" w:rsidRPr="00342DFA" w:rsidRDefault="00080D96">
      <w:pPr>
        <w:rPr>
          <w:lang w:eastAsia="fr-FR"/>
        </w:rPr>
      </w:pPr>
      <w:r w:rsidRPr="00342DFA">
        <w:rPr>
          <w:lang w:eastAsia="fr-FR"/>
        </w:rPr>
        <w:t xml:space="preserve">In the case of an entity purchased during the </w:t>
      </w:r>
      <w:r w:rsidR="00BE7B86">
        <w:rPr>
          <w:lang w:eastAsia="fr-FR"/>
        </w:rPr>
        <w:t xml:space="preserve">reporting </w:t>
      </w:r>
      <w:r w:rsidRPr="00342DFA">
        <w:rPr>
          <w:lang w:eastAsia="fr-FR"/>
        </w:rPr>
        <w:t>year, the indicators of the entity should be reported from the date of acquisition until the end of the reporting year (that is to say, to the extent that the new entity is able to respond).</w:t>
      </w:r>
    </w:p>
    <w:p w14:paraId="216A7E35" w14:textId="77777777" w:rsidR="00080D96" w:rsidRPr="00B07C95" w:rsidRDefault="00080D96" w:rsidP="001F5AF9">
      <w:pPr>
        <w:pStyle w:val="Heading3"/>
      </w:pPr>
      <w:r w:rsidRPr="00B07C95">
        <w:t>Closure and start-up of an entity</w:t>
      </w:r>
    </w:p>
    <w:p w14:paraId="0D7884CF" w14:textId="3A211B0C" w:rsidR="00080D96" w:rsidRPr="00342DFA" w:rsidRDefault="00080D96" w:rsidP="00165395">
      <w:pPr>
        <w:rPr>
          <w:lang w:eastAsia="fr-FR"/>
        </w:rPr>
      </w:pPr>
      <w:r w:rsidRPr="00342DFA">
        <w:rPr>
          <w:lang w:eastAsia="fr-FR"/>
        </w:rPr>
        <w:t xml:space="preserve">In the case of a closure of an entity during the </w:t>
      </w:r>
      <w:r w:rsidR="00BE7B86">
        <w:rPr>
          <w:lang w:eastAsia="fr-FR"/>
        </w:rPr>
        <w:t xml:space="preserve">reporting </w:t>
      </w:r>
      <w:r w:rsidRPr="00342DFA">
        <w:rPr>
          <w:lang w:eastAsia="fr-FR"/>
        </w:rPr>
        <w:t>year, the perimeter is not changed for the current year, and the indicators of the entity should be reported until the date of closure. The entity will be removed from the perimeter the following year.</w:t>
      </w:r>
    </w:p>
    <w:p w14:paraId="638BAC99" w14:textId="7DB00DF3" w:rsidR="00080D96" w:rsidRPr="0033435D" w:rsidRDefault="00080D96" w:rsidP="00165395">
      <w:pPr>
        <w:rPr>
          <w:lang w:eastAsia="fr-FR"/>
        </w:rPr>
      </w:pPr>
      <w:r w:rsidRPr="00342DFA">
        <w:rPr>
          <w:lang w:eastAsia="fr-FR"/>
        </w:rPr>
        <w:t xml:space="preserve">In the case of a </w:t>
      </w:r>
      <w:r w:rsidRPr="0033435D">
        <w:rPr>
          <w:lang w:eastAsia="fr-FR"/>
        </w:rPr>
        <w:t>start-up during the year N of a newly constructed entity, the entity should be added to the perimeter from the date of opening of the entity until the end of the reporting year.</w:t>
      </w:r>
    </w:p>
    <w:p w14:paraId="00695AA7" w14:textId="77777777" w:rsidR="00080D96" w:rsidRPr="0033435D" w:rsidRDefault="00080D96" w:rsidP="001F5AF9">
      <w:pPr>
        <w:pStyle w:val="Heading3"/>
      </w:pPr>
      <w:r w:rsidRPr="0033435D">
        <w:t>Operated / non-operated assets</w:t>
      </w:r>
    </w:p>
    <w:p w14:paraId="357F44AE" w14:textId="1694A27D" w:rsidR="00B7270E" w:rsidRPr="0033435D" w:rsidRDefault="00080D96" w:rsidP="00080D96">
      <w:pPr>
        <w:rPr>
          <w:lang w:eastAsia="fr-FR"/>
        </w:rPr>
      </w:pPr>
      <w:r w:rsidRPr="0033435D">
        <w:rPr>
          <w:lang w:eastAsia="fr-FR"/>
        </w:rPr>
        <w:t>When a site is operated by the Company, whatever its share in the facility</w:t>
      </w:r>
      <w:r w:rsidR="00580411" w:rsidRPr="0033435D">
        <w:rPr>
          <w:lang w:eastAsia="fr-FR"/>
        </w:rPr>
        <w:t xml:space="preserve"> is</w:t>
      </w:r>
      <w:r w:rsidRPr="0033435D">
        <w:rPr>
          <w:lang w:eastAsia="fr-FR"/>
        </w:rPr>
        <w:t xml:space="preserve">, 100% of the indicator should be reported. </w:t>
      </w:r>
    </w:p>
    <w:p w14:paraId="2D119140" w14:textId="77777777" w:rsidR="00422374" w:rsidRDefault="00080D96" w:rsidP="00B7270E">
      <w:pPr>
        <w:rPr>
          <w:lang w:eastAsia="fr-FR"/>
        </w:rPr>
      </w:pPr>
      <w:r w:rsidRPr="0033435D">
        <w:rPr>
          <w:lang w:eastAsia="fr-FR"/>
        </w:rPr>
        <w:t xml:space="preserve">The </w:t>
      </w:r>
      <w:r w:rsidR="00F905DE" w:rsidRPr="0033435D">
        <w:rPr>
          <w:lang w:eastAsia="fr-FR"/>
        </w:rPr>
        <w:t>c</w:t>
      </w:r>
      <w:r w:rsidRPr="0033435D">
        <w:rPr>
          <w:lang w:eastAsia="fr-FR"/>
        </w:rPr>
        <w:t xml:space="preserve">ompany may choose to </w:t>
      </w:r>
      <w:r w:rsidR="00BE7B86" w:rsidRPr="0033435D">
        <w:rPr>
          <w:lang w:eastAsia="fr-FR"/>
        </w:rPr>
        <w:t xml:space="preserve">also </w:t>
      </w:r>
      <w:r w:rsidRPr="0033435D">
        <w:rPr>
          <w:lang w:eastAsia="fr-FR"/>
        </w:rPr>
        <w:t>report each of the indicators for non-operated site</w:t>
      </w:r>
      <w:r w:rsidR="00BE7B86" w:rsidRPr="0033435D">
        <w:rPr>
          <w:lang w:eastAsia="fr-FR"/>
        </w:rPr>
        <w:t>(s)</w:t>
      </w:r>
      <w:r w:rsidRPr="0033435D">
        <w:rPr>
          <w:lang w:eastAsia="fr-FR"/>
        </w:rPr>
        <w:t>.</w:t>
      </w:r>
      <w:r w:rsidR="00422374" w:rsidRPr="0033435D">
        <w:rPr>
          <w:lang w:eastAsia="fr-FR"/>
        </w:rPr>
        <w:t xml:space="preserve"> For these non-operated sites, company will use the equity share approach.</w:t>
      </w:r>
    </w:p>
    <w:p w14:paraId="1A074549" w14:textId="1EABFF56" w:rsidR="00B7270E" w:rsidRPr="00B7270E" w:rsidRDefault="001767DC" w:rsidP="00B7270E">
      <w:r>
        <w:rPr>
          <w:lang w:eastAsia="fr-FR"/>
        </w:rPr>
        <w:t xml:space="preserve">The Equity share approach </w:t>
      </w:r>
      <w:r w:rsidR="00B7270E" w:rsidRPr="00B7270E">
        <w:t>is based on asset ownership (or share of financial benefits)</w:t>
      </w:r>
      <w:r w:rsidR="00B7270E" w:rsidRPr="001767DC">
        <w:t xml:space="preserve">. The approach is generally applied by consolidating data from all assets owned, or partly owned, by the reporting company in proportion to its percentage share of equity in (or benefits from) the assets. In contrast to the operational approach, this means data </w:t>
      </w:r>
      <w:r w:rsidR="003B4F95">
        <w:t>is</w:t>
      </w:r>
      <w:r w:rsidR="003B4F95" w:rsidRPr="001767DC">
        <w:t xml:space="preserve"> </w:t>
      </w:r>
      <w:r w:rsidR="00B7270E" w:rsidRPr="001767DC">
        <w:t>consolidated from assets partially owned, but not operated by, the reporting company, as well as from operated assets that are wholly or partially owned—thus, irrespective of who the operator is, d</w:t>
      </w:r>
      <w:r w:rsidR="00B7270E" w:rsidRPr="00A86003">
        <w:t xml:space="preserve">ata </w:t>
      </w:r>
      <w:r w:rsidR="003B4F95">
        <w:t>is</w:t>
      </w:r>
      <w:r w:rsidR="003B4F95" w:rsidRPr="00A86003">
        <w:t xml:space="preserve"> </w:t>
      </w:r>
      <w:r w:rsidR="00B7270E" w:rsidRPr="00A86003">
        <w:t xml:space="preserve">consolidated but only in proportion to the reporting company’s ownership of each </w:t>
      </w:r>
      <w:r w:rsidR="00B7270E" w:rsidRPr="00E30971">
        <w:t>asset. The equity share approach is therefore aligned</w:t>
      </w:r>
      <w:r w:rsidR="00B7270E" w:rsidRPr="00B7270E">
        <w:t xml:space="preserve"> closely with financial reporting and is intended to provide a more complete picture of potential responsibilities.</w:t>
      </w:r>
    </w:p>
    <w:p w14:paraId="1386630C" w14:textId="259288AC" w:rsidR="00B7270E" w:rsidRDefault="00B7270E" w:rsidP="00B7270E">
      <w:r w:rsidRPr="00B7270E">
        <w:t xml:space="preserve">More detail is provided on this approach in the companion IPIECA/API/IOGP document </w:t>
      </w:r>
      <w:r w:rsidRPr="00B7270E">
        <w:rPr>
          <w:rFonts w:ascii="InterFace-LightItalic" w:hAnsi="InterFace-LightItalic"/>
          <w:i/>
          <w:iCs/>
        </w:rPr>
        <w:t>Petroleum Industry Guidelines for Reporting Greenhouse Gas Emissions</w:t>
      </w:r>
      <w:r w:rsidRPr="00B7270E">
        <w:t>, which also provides information on an alternative but similar approach known as the Financial Control Approach.</w:t>
      </w:r>
    </w:p>
    <w:p w14:paraId="585B349B" w14:textId="11C69A61" w:rsidR="00080D96" w:rsidRPr="00342DFA" w:rsidRDefault="00080D96" w:rsidP="00080D96">
      <w:pPr>
        <w:rPr>
          <w:rFonts w:ascii="Calibri" w:eastAsia="Times New Roman" w:hAnsi="Calibri" w:cs="Times New Roman"/>
          <w:szCs w:val="20"/>
          <w:lang w:eastAsia="fr-FR"/>
        </w:rPr>
      </w:pPr>
      <w:r w:rsidRPr="00342DFA">
        <w:rPr>
          <w:rFonts w:ascii="Calibri" w:eastAsia="Times New Roman" w:hAnsi="Calibri" w:cs="Times New Roman"/>
          <w:szCs w:val="20"/>
          <w:lang w:eastAsia="fr-FR"/>
        </w:rPr>
        <w:t>In case of modification of shares or operational control during the reporting year</w:t>
      </w:r>
      <w:r w:rsidR="00A16E4B">
        <w:rPr>
          <w:rFonts w:ascii="Calibri" w:eastAsia="Times New Roman" w:hAnsi="Calibri" w:cs="Times New Roman"/>
          <w:szCs w:val="20"/>
          <w:lang w:eastAsia="fr-FR"/>
        </w:rPr>
        <w:t>:</w:t>
      </w:r>
    </w:p>
    <w:p w14:paraId="3DFDF646" w14:textId="77777777" w:rsidR="00080D96" w:rsidRPr="00342DFA" w:rsidRDefault="00080D96" w:rsidP="0035559C">
      <w:pPr>
        <w:pStyle w:val="ListParagraph"/>
        <w:numPr>
          <w:ilvl w:val="0"/>
          <w:numId w:val="11"/>
        </w:numPr>
        <w:rPr>
          <w:lang w:eastAsia="fr-FR"/>
        </w:rPr>
      </w:pPr>
      <w:r w:rsidRPr="00342DFA">
        <w:rPr>
          <w:lang w:eastAsia="fr-FR"/>
        </w:rPr>
        <w:t>in case of change in the operational control, the Divestment/Acquisitions rules should apply</w:t>
      </w:r>
      <w:r>
        <w:rPr>
          <w:lang w:eastAsia="fr-FR"/>
        </w:rPr>
        <w:t>,</w:t>
      </w:r>
    </w:p>
    <w:p w14:paraId="52DDBEB5" w14:textId="77777777" w:rsidR="00080D96" w:rsidRPr="00342DFA" w:rsidRDefault="00080D96" w:rsidP="0035559C">
      <w:pPr>
        <w:pStyle w:val="ListParagraph"/>
        <w:numPr>
          <w:ilvl w:val="0"/>
          <w:numId w:val="11"/>
        </w:numPr>
        <w:rPr>
          <w:lang w:eastAsia="fr-FR"/>
        </w:rPr>
      </w:pPr>
      <w:r w:rsidRPr="00342DFA">
        <w:rPr>
          <w:lang w:eastAsia="fr-FR"/>
        </w:rPr>
        <w:t>in case of change in shares, the reporting should consider applicable share before and after the date of change for the reporting</w:t>
      </w:r>
      <w:r>
        <w:rPr>
          <w:lang w:eastAsia="fr-FR"/>
        </w:rPr>
        <w:t>.</w:t>
      </w:r>
    </w:p>
    <w:p w14:paraId="748507EE" w14:textId="0FD088E7" w:rsidR="001954C4" w:rsidRPr="00B07C95" w:rsidRDefault="00106D83" w:rsidP="005C77BD">
      <w:pPr>
        <w:pStyle w:val="Heading1"/>
      </w:pPr>
      <w:bookmarkStart w:id="10" w:name="_Toc97226718"/>
      <w:r>
        <w:t xml:space="preserve">Overview of OGCI </w:t>
      </w:r>
      <w:r w:rsidR="00A4600D">
        <w:t>i</w:t>
      </w:r>
      <w:r w:rsidR="001954C4" w:rsidRPr="00B07C95">
        <w:t>ndicators</w:t>
      </w:r>
      <w:bookmarkEnd w:id="10"/>
    </w:p>
    <w:p w14:paraId="468CABC1" w14:textId="020E9C34" w:rsidR="00177D5C" w:rsidRPr="00342DFA" w:rsidRDefault="00177D5C" w:rsidP="00177D5C">
      <w:pPr>
        <w:rPr>
          <w:lang w:eastAsia="fr-FR"/>
        </w:rPr>
      </w:pPr>
      <w:r w:rsidRPr="00342DFA">
        <w:rPr>
          <w:lang w:eastAsia="fr-FR"/>
        </w:rPr>
        <w:t xml:space="preserve">Indicators are collected on a yearly basis and refer mainly to the following </w:t>
      </w:r>
      <w:r w:rsidR="00BE7B86">
        <w:rPr>
          <w:lang w:eastAsia="fr-FR"/>
        </w:rPr>
        <w:t xml:space="preserve">general </w:t>
      </w:r>
      <w:r w:rsidRPr="00342DFA">
        <w:rPr>
          <w:lang w:eastAsia="fr-FR"/>
        </w:rPr>
        <w:t>categories:</w:t>
      </w:r>
    </w:p>
    <w:p w14:paraId="1DA5F72A" w14:textId="7E7612EB" w:rsidR="00177D5C" w:rsidRDefault="00177D5C" w:rsidP="006806B4">
      <w:pPr>
        <w:pStyle w:val="ListParagraph"/>
        <w:numPr>
          <w:ilvl w:val="0"/>
          <w:numId w:val="7"/>
        </w:numPr>
        <w:rPr>
          <w:rFonts w:ascii="Calibri" w:eastAsia="Times New Roman" w:hAnsi="Calibri" w:cs="Times New Roman"/>
          <w:szCs w:val="20"/>
          <w:lang w:eastAsia="fr-FR"/>
        </w:rPr>
      </w:pPr>
      <w:r>
        <w:rPr>
          <w:rFonts w:ascii="Calibri" w:eastAsia="Times New Roman" w:hAnsi="Calibri" w:cs="Times New Roman"/>
          <w:szCs w:val="20"/>
          <w:lang w:eastAsia="fr-FR"/>
        </w:rPr>
        <w:t>Generic data, to assess OGCI global footprint</w:t>
      </w:r>
    </w:p>
    <w:p w14:paraId="0307B6E4" w14:textId="5552303B" w:rsidR="00177D5C" w:rsidRPr="00342DFA" w:rsidRDefault="00177D5C" w:rsidP="006806B4">
      <w:pPr>
        <w:pStyle w:val="ListParagraph"/>
        <w:numPr>
          <w:ilvl w:val="0"/>
          <w:numId w:val="7"/>
        </w:numPr>
        <w:rPr>
          <w:rFonts w:ascii="Calibri" w:eastAsia="Times New Roman" w:hAnsi="Calibri" w:cs="Times New Roman"/>
          <w:szCs w:val="20"/>
          <w:lang w:eastAsia="fr-FR"/>
        </w:rPr>
      </w:pPr>
      <w:r w:rsidRPr="00342DFA">
        <w:rPr>
          <w:rFonts w:ascii="Calibri" w:eastAsia="Times New Roman" w:hAnsi="Calibri" w:cs="Times New Roman"/>
          <w:szCs w:val="20"/>
          <w:lang w:eastAsia="fr-FR"/>
        </w:rPr>
        <w:t>Activity data related to hydrocarbon production levels and gas share in production portfolio of each company</w:t>
      </w:r>
    </w:p>
    <w:p w14:paraId="59FFF7E2" w14:textId="4D1124DE" w:rsidR="00177D5C" w:rsidRPr="00342DFA" w:rsidRDefault="00177D5C" w:rsidP="006806B4">
      <w:pPr>
        <w:pStyle w:val="ListParagraph"/>
        <w:numPr>
          <w:ilvl w:val="0"/>
          <w:numId w:val="7"/>
        </w:numPr>
        <w:rPr>
          <w:rFonts w:ascii="Calibri" w:eastAsia="Times New Roman" w:hAnsi="Calibri" w:cs="Times New Roman"/>
          <w:szCs w:val="20"/>
          <w:lang w:eastAsia="fr-FR"/>
        </w:rPr>
      </w:pPr>
      <w:r w:rsidRPr="00342DFA">
        <w:rPr>
          <w:rFonts w:ascii="Calibri" w:eastAsia="Times New Roman" w:hAnsi="Calibri" w:cs="Times New Roman"/>
          <w:szCs w:val="20"/>
          <w:lang w:eastAsia="fr-FR"/>
        </w:rPr>
        <w:lastRenderedPageBreak/>
        <w:t xml:space="preserve">GHG </w:t>
      </w:r>
      <w:r>
        <w:rPr>
          <w:rFonts w:ascii="Calibri" w:eastAsia="Times New Roman" w:hAnsi="Calibri" w:cs="Times New Roman"/>
          <w:szCs w:val="20"/>
          <w:lang w:eastAsia="fr-FR"/>
        </w:rPr>
        <w:t>f</w:t>
      </w:r>
      <w:r w:rsidRPr="00342DFA">
        <w:rPr>
          <w:rFonts w:ascii="Calibri" w:eastAsia="Times New Roman" w:hAnsi="Calibri" w:cs="Times New Roman"/>
          <w:szCs w:val="20"/>
          <w:lang w:eastAsia="fr-FR"/>
        </w:rPr>
        <w:t>igures: data related to emission levels, including specific breakdown for selected categories, like flaring and methane emissions</w:t>
      </w:r>
    </w:p>
    <w:p w14:paraId="4BD575A4" w14:textId="477CA8AF" w:rsidR="00177D5C" w:rsidRPr="00866681" w:rsidRDefault="00177D5C" w:rsidP="006806B4">
      <w:pPr>
        <w:pStyle w:val="ListParagraph"/>
        <w:numPr>
          <w:ilvl w:val="0"/>
          <w:numId w:val="7"/>
        </w:numPr>
        <w:rPr>
          <w:rFonts w:ascii="Calibri" w:eastAsia="Times New Roman" w:hAnsi="Calibri" w:cs="Times New Roman"/>
          <w:szCs w:val="20"/>
          <w:lang w:eastAsia="fr-FR"/>
        </w:rPr>
      </w:pPr>
      <w:r w:rsidRPr="00342DFA">
        <w:rPr>
          <w:rFonts w:ascii="Calibri" w:eastAsia="Times New Roman" w:hAnsi="Calibri" w:cs="Times New Roman"/>
          <w:szCs w:val="20"/>
          <w:lang w:eastAsia="fr-FR"/>
        </w:rPr>
        <w:t xml:space="preserve">Low </w:t>
      </w:r>
      <w:r>
        <w:rPr>
          <w:rFonts w:ascii="Calibri" w:eastAsia="Times New Roman" w:hAnsi="Calibri" w:cs="Times New Roman"/>
          <w:szCs w:val="20"/>
          <w:lang w:eastAsia="fr-FR"/>
        </w:rPr>
        <w:t>c</w:t>
      </w:r>
      <w:r w:rsidRPr="00342DFA">
        <w:rPr>
          <w:rFonts w:ascii="Calibri" w:eastAsia="Times New Roman" w:hAnsi="Calibri" w:cs="Times New Roman"/>
          <w:szCs w:val="20"/>
          <w:lang w:eastAsia="fr-FR"/>
        </w:rPr>
        <w:t xml:space="preserve">arbon </w:t>
      </w:r>
      <w:r>
        <w:rPr>
          <w:rFonts w:ascii="Calibri" w:eastAsia="Times New Roman" w:hAnsi="Calibri" w:cs="Times New Roman"/>
          <w:szCs w:val="20"/>
          <w:lang w:eastAsia="fr-FR"/>
        </w:rPr>
        <w:t>i</w:t>
      </w:r>
      <w:r w:rsidRPr="00342DFA">
        <w:rPr>
          <w:rFonts w:ascii="Calibri" w:eastAsia="Times New Roman" w:hAnsi="Calibri" w:cs="Times New Roman"/>
          <w:szCs w:val="20"/>
          <w:lang w:eastAsia="fr-FR"/>
        </w:rPr>
        <w:t>nvestment: information related to companies</w:t>
      </w:r>
      <w:r>
        <w:rPr>
          <w:rFonts w:ascii="Calibri" w:eastAsia="Times New Roman" w:hAnsi="Calibri" w:cs="Times New Roman"/>
          <w:szCs w:val="20"/>
          <w:lang w:eastAsia="fr-FR"/>
        </w:rPr>
        <w:t>´</w:t>
      </w:r>
      <w:r w:rsidRPr="00342DFA">
        <w:rPr>
          <w:rFonts w:ascii="Calibri" w:eastAsia="Times New Roman" w:hAnsi="Calibri" w:cs="Times New Roman"/>
          <w:szCs w:val="20"/>
          <w:lang w:eastAsia="fr-FR"/>
        </w:rPr>
        <w:t xml:space="preserve"> </w:t>
      </w:r>
      <w:r w:rsidR="005D4962">
        <w:rPr>
          <w:rFonts w:ascii="Calibri" w:eastAsia="Times New Roman" w:hAnsi="Calibri" w:cs="Times New Roman"/>
          <w:szCs w:val="20"/>
          <w:lang w:eastAsia="fr-FR"/>
        </w:rPr>
        <w:t xml:space="preserve">money spent on low-carbon projects, acquisitions of companies working on low-carbon solutions and R&amp;D focusing on </w:t>
      </w:r>
      <w:r w:rsidRPr="00764027">
        <w:rPr>
          <w:rFonts w:ascii="Calibri" w:eastAsia="Times New Roman" w:hAnsi="Calibri" w:cs="Times New Roman"/>
          <w:szCs w:val="20"/>
          <w:lang w:eastAsia="fr-FR"/>
        </w:rPr>
        <w:t xml:space="preserve">low carbon </w:t>
      </w:r>
      <w:r w:rsidR="005D4962" w:rsidRPr="00192FA4">
        <w:rPr>
          <w:rFonts w:ascii="Calibri" w:eastAsia="Times New Roman" w:hAnsi="Calibri" w:cs="Times New Roman"/>
          <w:szCs w:val="20"/>
          <w:lang w:eastAsia="fr-FR"/>
        </w:rPr>
        <w:t>technologies</w:t>
      </w:r>
      <w:r w:rsidRPr="00764027">
        <w:rPr>
          <w:rFonts w:ascii="Calibri" w:eastAsia="Times New Roman" w:hAnsi="Calibri" w:cs="Times New Roman"/>
          <w:szCs w:val="20"/>
          <w:lang w:eastAsia="fr-FR"/>
        </w:rPr>
        <w:t>.</w:t>
      </w:r>
    </w:p>
    <w:p w14:paraId="2E8E2628" w14:textId="3CDFBD56" w:rsidR="001954C4" w:rsidRDefault="009441A1" w:rsidP="00C150C0">
      <w:pPr>
        <w:rPr>
          <w:lang w:eastAsia="fr-FR"/>
        </w:rPr>
      </w:pPr>
      <w:r w:rsidRPr="00342DFA">
        <w:rPr>
          <w:lang w:eastAsia="fr-FR"/>
        </w:rPr>
        <w:t>This section provide</w:t>
      </w:r>
      <w:r w:rsidR="00092D01">
        <w:rPr>
          <w:lang w:eastAsia="fr-FR"/>
        </w:rPr>
        <w:t>s</w:t>
      </w:r>
      <w:r w:rsidR="00A171E5">
        <w:rPr>
          <w:lang w:eastAsia="fr-FR"/>
        </w:rPr>
        <w:t xml:space="preserve"> the list</w:t>
      </w:r>
      <w:r w:rsidR="00092D01">
        <w:rPr>
          <w:lang w:eastAsia="fr-FR"/>
        </w:rPr>
        <w:t xml:space="preserve"> of </w:t>
      </w:r>
      <w:r w:rsidRPr="00342DFA">
        <w:rPr>
          <w:lang w:eastAsia="fr-FR"/>
        </w:rPr>
        <w:t xml:space="preserve">indicators to be reported </w:t>
      </w:r>
      <w:r w:rsidR="002269A9">
        <w:rPr>
          <w:lang w:eastAsia="fr-FR"/>
        </w:rPr>
        <w:t xml:space="preserve">and published </w:t>
      </w:r>
      <w:r w:rsidRPr="00342DFA">
        <w:rPr>
          <w:lang w:eastAsia="fr-FR"/>
        </w:rPr>
        <w:t>within the yearly OGCI reporting process.</w:t>
      </w:r>
      <w:r w:rsidR="00A171E5">
        <w:rPr>
          <w:lang w:eastAsia="fr-FR"/>
        </w:rPr>
        <w:t xml:space="preserve"> The following sections detail the definition of each indicator.</w:t>
      </w:r>
      <w:r w:rsidR="0071104D">
        <w:rPr>
          <w:lang w:eastAsia="fr-FR"/>
        </w:rPr>
        <w:t xml:space="preserve"> Indicators in </w:t>
      </w:r>
      <w:r w:rsidR="0071104D" w:rsidRPr="0071104D">
        <w:rPr>
          <w:color w:val="4F81BD" w:themeColor="accent1"/>
          <w:lang w:eastAsia="fr-FR"/>
        </w:rPr>
        <w:t xml:space="preserve">blue </w:t>
      </w:r>
      <w:r w:rsidR="0071104D">
        <w:rPr>
          <w:lang w:eastAsia="fr-FR"/>
        </w:rPr>
        <w:t>are calculated.</w:t>
      </w:r>
      <w:r w:rsidR="002269A9">
        <w:rPr>
          <w:lang w:eastAsia="fr-FR"/>
        </w:rPr>
        <w:t xml:space="preserve"> </w:t>
      </w:r>
      <w:r w:rsidR="00503995">
        <w:rPr>
          <w:lang w:eastAsia="fr-FR"/>
        </w:rPr>
        <w:t>In parallel, OGCI member companies are working on other internal indicators to track their progress.</w:t>
      </w:r>
    </w:p>
    <w:p w14:paraId="4369BCC4" w14:textId="76BE6E4B" w:rsidR="00866681" w:rsidRPr="00342DFA" w:rsidRDefault="00866681" w:rsidP="00866681">
      <w:pPr>
        <w:rPr>
          <w:lang w:eastAsia="fr-FR"/>
        </w:rPr>
      </w:pPr>
      <w:r w:rsidRPr="00342DFA">
        <w:rPr>
          <w:lang w:eastAsia="fr-FR"/>
        </w:rPr>
        <w:t xml:space="preserve">The boundary (business segment) and the approach (operational vs equity) for data collection is defined for each indicator in the </w:t>
      </w:r>
      <w:r>
        <w:rPr>
          <w:lang w:eastAsia="fr-FR"/>
        </w:rPr>
        <w:t>Section 7</w:t>
      </w:r>
      <w:r w:rsidRPr="00342DFA">
        <w:rPr>
          <w:lang w:eastAsia="fr-FR"/>
        </w:rPr>
        <w:t>.</w:t>
      </w:r>
    </w:p>
    <w:p w14:paraId="6E6F6B06" w14:textId="45496730" w:rsidR="00866681" w:rsidRDefault="00866681" w:rsidP="00C150C0">
      <w:pPr>
        <w:rPr>
          <w:lang w:eastAsia="fr-FR"/>
        </w:rPr>
      </w:pPr>
      <w:r w:rsidRPr="00342DFA">
        <w:rPr>
          <w:lang w:eastAsia="fr-FR"/>
        </w:rPr>
        <w:t xml:space="preserve">In the definition of the key indicators to be reported, OGCI recognizes that most of them </w:t>
      </w:r>
      <w:r>
        <w:rPr>
          <w:lang w:eastAsia="fr-FR"/>
        </w:rPr>
        <w:t>may</w:t>
      </w:r>
      <w:r w:rsidRPr="00342DFA">
        <w:rPr>
          <w:lang w:eastAsia="fr-FR"/>
        </w:rPr>
        <w:t xml:space="preserve"> already </w:t>
      </w:r>
      <w:r>
        <w:rPr>
          <w:lang w:eastAsia="fr-FR"/>
        </w:rPr>
        <w:t xml:space="preserve">be </w:t>
      </w:r>
      <w:r w:rsidRPr="00342DFA">
        <w:rPr>
          <w:lang w:eastAsia="fr-FR"/>
        </w:rPr>
        <w:t xml:space="preserve">reported by member companies within external frameworks or communication process, according to international recognized methodologies for the O&amp;G </w:t>
      </w:r>
      <w:r>
        <w:rPr>
          <w:lang w:eastAsia="fr-FR"/>
        </w:rPr>
        <w:t>s</w:t>
      </w:r>
      <w:r w:rsidRPr="00342DFA">
        <w:rPr>
          <w:lang w:eastAsia="fr-FR"/>
        </w:rPr>
        <w:t xml:space="preserve">ector. </w:t>
      </w:r>
      <w:proofErr w:type="gramStart"/>
      <w:r w:rsidRPr="00342DFA">
        <w:rPr>
          <w:lang w:eastAsia="fr-FR"/>
        </w:rPr>
        <w:t>In order to</w:t>
      </w:r>
      <w:proofErr w:type="gramEnd"/>
      <w:r w:rsidRPr="00342DFA">
        <w:rPr>
          <w:lang w:eastAsia="fr-FR"/>
        </w:rPr>
        <w:t xml:space="preserve"> ensure the consistency and comparability of figures published by single companies, OGCI supports the use of such external references, as specified for each indicator (see detailed list), providing that the coherence and comparability between OGCI companies is ensured.</w:t>
      </w:r>
    </w:p>
    <w:p w14:paraId="2C086DD0" w14:textId="5A698214" w:rsidR="00935977" w:rsidRDefault="00935977" w:rsidP="00C150C0">
      <w:pPr>
        <w:rPr>
          <w:lang w:val="en-US" w:eastAsia="fr-FR"/>
        </w:rPr>
      </w:pPr>
    </w:p>
    <w:p w14:paraId="1CB017FA" w14:textId="77777777" w:rsidR="00935977" w:rsidRPr="00866681" w:rsidRDefault="00935977" w:rsidP="00C150C0">
      <w:pPr>
        <w:rPr>
          <w:lang w:val="en-US" w:eastAsia="fr-FR"/>
        </w:rPr>
      </w:pPr>
    </w:p>
    <w:tbl>
      <w:tblPr>
        <w:tblStyle w:val="TableGrid"/>
        <w:tblW w:w="0" w:type="auto"/>
        <w:jc w:val="center"/>
        <w:tblLook w:val="0420" w:firstRow="1" w:lastRow="0" w:firstColumn="0" w:lastColumn="0" w:noHBand="0" w:noVBand="1"/>
      </w:tblPr>
      <w:tblGrid>
        <w:gridCol w:w="1585"/>
        <w:gridCol w:w="1548"/>
        <w:gridCol w:w="6478"/>
      </w:tblGrid>
      <w:tr w:rsidR="00F026F3" w14:paraId="549F35D3" w14:textId="77777777" w:rsidTr="00554A2C">
        <w:trPr>
          <w:trHeight w:val="283"/>
          <w:jc w:val="center"/>
        </w:trPr>
        <w:tc>
          <w:tcPr>
            <w:tcW w:w="1585" w:type="dxa"/>
            <w:shd w:val="clear" w:color="auto" w:fill="4F81BD" w:themeFill="accent1"/>
            <w:vAlign w:val="center"/>
          </w:tcPr>
          <w:p w14:paraId="78E292DA" w14:textId="3B8A5771" w:rsidR="00F026F3" w:rsidRPr="00106D83" w:rsidRDefault="005C77BD" w:rsidP="00CE523D">
            <w:pPr>
              <w:spacing w:after="0"/>
              <w:jc w:val="center"/>
              <w:rPr>
                <w:rFonts w:ascii="Calibri" w:eastAsia="Times New Roman" w:hAnsi="Calibri" w:cs="Times New Roman"/>
                <w:b/>
                <w:color w:val="FFFFFF" w:themeColor="background1"/>
                <w:szCs w:val="20"/>
                <w:lang w:eastAsia="fr-FR"/>
              </w:rPr>
            </w:pPr>
            <w:r w:rsidRPr="00D2642A">
              <w:rPr>
                <w:lang w:val="en-GB" w:eastAsia="fr-FR"/>
              </w:rPr>
              <w:br w:type="page"/>
            </w:r>
            <w:r w:rsidR="00F026F3" w:rsidRPr="00106D83">
              <w:rPr>
                <w:rFonts w:ascii="Calibri" w:eastAsia="Times New Roman" w:hAnsi="Calibri" w:cs="Times New Roman"/>
                <w:b/>
                <w:color w:val="FFFFFF" w:themeColor="background1"/>
                <w:szCs w:val="20"/>
                <w:lang w:eastAsia="fr-FR"/>
              </w:rPr>
              <w:t>Theme</w:t>
            </w:r>
          </w:p>
        </w:tc>
        <w:tc>
          <w:tcPr>
            <w:tcW w:w="1548" w:type="dxa"/>
            <w:shd w:val="clear" w:color="auto" w:fill="4F81BD" w:themeFill="accent1"/>
            <w:vAlign w:val="center"/>
          </w:tcPr>
          <w:p w14:paraId="2728ABCF" w14:textId="77777777" w:rsidR="00F026F3" w:rsidRPr="00106D83" w:rsidRDefault="00F026F3" w:rsidP="00CE523D">
            <w:pPr>
              <w:spacing w:after="0"/>
              <w:jc w:val="center"/>
              <w:rPr>
                <w:rFonts w:ascii="Calibri" w:hAnsi="Calibri" w:cs="Calibri"/>
                <w:b/>
                <w:color w:val="FFFFFF" w:themeColor="background1"/>
              </w:rPr>
            </w:pPr>
            <w:r w:rsidRPr="00106D83">
              <w:rPr>
                <w:rFonts w:ascii="Calibri" w:hAnsi="Calibri" w:cs="Calibri"/>
                <w:b/>
                <w:color w:val="FFFFFF" w:themeColor="background1"/>
              </w:rPr>
              <w:t>Code</w:t>
            </w:r>
          </w:p>
        </w:tc>
        <w:tc>
          <w:tcPr>
            <w:tcW w:w="6478" w:type="dxa"/>
            <w:shd w:val="clear" w:color="auto" w:fill="4F81BD" w:themeFill="accent1"/>
            <w:vAlign w:val="center"/>
          </w:tcPr>
          <w:p w14:paraId="5E53EC5B" w14:textId="796B3C2A" w:rsidR="00F026F3" w:rsidRPr="00B96572" w:rsidRDefault="00F026F3" w:rsidP="00CE523D">
            <w:pPr>
              <w:spacing w:after="0"/>
              <w:jc w:val="center"/>
              <w:rPr>
                <w:rFonts w:ascii="Calibri" w:hAnsi="Calibri" w:cs="Calibri"/>
                <w:b/>
                <w:color w:val="FFFFFF" w:themeColor="background1"/>
                <w:lang w:val="en-US"/>
              </w:rPr>
            </w:pPr>
            <w:r w:rsidRPr="00B96572">
              <w:rPr>
                <w:rFonts w:ascii="Calibri" w:hAnsi="Calibri" w:cs="Calibri"/>
                <w:b/>
                <w:color w:val="FFFFFF" w:themeColor="background1"/>
                <w:lang w:val="en-US"/>
              </w:rPr>
              <w:t xml:space="preserve">Name of the </w:t>
            </w:r>
            <w:r w:rsidR="002269A9" w:rsidRPr="00B96572">
              <w:rPr>
                <w:rFonts w:ascii="Calibri" w:hAnsi="Calibri" w:cs="Calibri"/>
                <w:b/>
                <w:color w:val="FFFFFF" w:themeColor="background1"/>
                <w:lang w:val="en-US"/>
              </w:rPr>
              <w:t xml:space="preserve">published </w:t>
            </w:r>
            <w:r w:rsidRPr="00B96572">
              <w:rPr>
                <w:rFonts w:ascii="Calibri" w:hAnsi="Calibri" w:cs="Calibri"/>
                <w:b/>
                <w:color w:val="FFFFFF" w:themeColor="background1"/>
                <w:lang w:val="en-US"/>
              </w:rPr>
              <w:t>indicator</w:t>
            </w:r>
          </w:p>
        </w:tc>
      </w:tr>
      <w:tr w:rsidR="000A3B08" w14:paraId="5633CE57" w14:textId="77777777" w:rsidTr="00554A2C">
        <w:trPr>
          <w:trHeight w:val="283"/>
          <w:jc w:val="center"/>
        </w:trPr>
        <w:tc>
          <w:tcPr>
            <w:tcW w:w="1585" w:type="dxa"/>
            <w:vMerge w:val="restart"/>
            <w:shd w:val="clear" w:color="auto" w:fill="FFFFFF" w:themeFill="background1"/>
            <w:vAlign w:val="center"/>
          </w:tcPr>
          <w:p w14:paraId="7AE0C687" w14:textId="77777777" w:rsidR="000A3B08" w:rsidRPr="008A2404" w:rsidRDefault="000A3B08" w:rsidP="00CE523D">
            <w:pPr>
              <w:spacing w:after="0"/>
              <w:jc w:val="center"/>
              <w:rPr>
                <w:rFonts w:ascii="Calibri" w:eastAsia="Times New Roman" w:hAnsi="Calibri" w:cs="Times New Roman"/>
                <w:b/>
                <w:szCs w:val="20"/>
                <w:lang w:val="en-GB" w:eastAsia="fr-FR"/>
              </w:rPr>
            </w:pPr>
            <w:r w:rsidRPr="008A2404">
              <w:rPr>
                <w:rFonts w:ascii="Calibri" w:eastAsia="Times New Roman" w:hAnsi="Calibri" w:cs="Times New Roman"/>
                <w:b/>
                <w:szCs w:val="20"/>
                <w:lang w:val="en-GB" w:eastAsia="fr-FR"/>
              </w:rPr>
              <w:t>Activity data</w:t>
            </w:r>
          </w:p>
        </w:tc>
        <w:tc>
          <w:tcPr>
            <w:tcW w:w="1548" w:type="dxa"/>
            <w:shd w:val="clear" w:color="auto" w:fill="FFFFFF" w:themeFill="background1"/>
            <w:vAlign w:val="center"/>
          </w:tcPr>
          <w:p w14:paraId="1C2D11F2" w14:textId="77777777" w:rsidR="000A3B08" w:rsidRPr="00153C0B" w:rsidRDefault="000A3B08" w:rsidP="00CE523D">
            <w:pPr>
              <w:spacing w:after="0"/>
              <w:jc w:val="left"/>
              <w:rPr>
                <w:rFonts w:ascii="Calibri" w:eastAsia="Times New Roman" w:hAnsi="Calibri" w:cs="Times New Roman"/>
                <w:b/>
                <w:szCs w:val="20"/>
                <w:lang w:val="en-GB" w:eastAsia="fr-FR"/>
              </w:rPr>
            </w:pPr>
            <w:r>
              <w:rPr>
                <w:rFonts w:ascii="Calibri" w:eastAsia="Times New Roman" w:hAnsi="Calibri" w:cs="Times New Roman"/>
                <w:b/>
                <w:szCs w:val="20"/>
                <w:lang w:eastAsia="fr-FR"/>
              </w:rPr>
              <w:t>PROD</w:t>
            </w:r>
            <w:r w:rsidRPr="00FA39D1">
              <w:rPr>
                <w:rFonts w:ascii="Calibri" w:eastAsia="Times New Roman" w:hAnsi="Calibri" w:cs="Times New Roman"/>
                <w:b/>
                <w:szCs w:val="20"/>
                <w:lang w:eastAsia="fr-FR"/>
              </w:rPr>
              <w:t>.11</w:t>
            </w:r>
          </w:p>
        </w:tc>
        <w:tc>
          <w:tcPr>
            <w:tcW w:w="6478" w:type="dxa"/>
            <w:shd w:val="clear" w:color="auto" w:fill="FFFFFF" w:themeFill="background1"/>
            <w:vAlign w:val="center"/>
          </w:tcPr>
          <w:p w14:paraId="08162FC8" w14:textId="6B90A2A3" w:rsidR="000A3B08" w:rsidRPr="002C5D7E" w:rsidRDefault="00B62D56" w:rsidP="00CE523D">
            <w:pPr>
              <w:spacing w:after="0"/>
              <w:jc w:val="left"/>
              <w:rPr>
                <w:rFonts w:ascii="Calibri" w:eastAsia="Times New Roman" w:hAnsi="Calibri" w:cs="Times New Roman"/>
                <w:szCs w:val="20"/>
                <w:lang w:val="en-GB" w:eastAsia="fr-FR"/>
              </w:rPr>
            </w:pPr>
            <w:r>
              <w:rPr>
                <w:rFonts w:ascii="Calibri" w:eastAsia="Times New Roman" w:hAnsi="Calibri" w:cs="Times New Roman"/>
                <w:szCs w:val="20"/>
                <w:lang w:val="en-GB" w:eastAsia="fr-FR"/>
              </w:rPr>
              <w:t>O</w:t>
            </w:r>
            <w:r w:rsidR="000A3B08">
              <w:rPr>
                <w:rFonts w:ascii="Calibri" w:eastAsia="Times New Roman" w:hAnsi="Calibri" w:cs="Times New Roman"/>
                <w:szCs w:val="20"/>
                <w:lang w:val="en-GB" w:eastAsia="fr-FR"/>
              </w:rPr>
              <w:t xml:space="preserve">perated </w:t>
            </w:r>
            <w:r>
              <w:rPr>
                <w:rFonts w:ascii="Calibri" w:eastAsia="Times New Roman" w:hAnsi="Calibri" w:cs="Times New Roman"/>
                <w:szCs w:val="20"/>
                <w:lang w:val="en-GB" w:eastAsia="fr-FR"/>
              </w:rPr>
              <w:t>oil and gas</w:t>
            </w:r>
            <w:r w:rsidRPr="00034FEE">
              <w:rPr>
                <w:rFonts w:ascii="Calibri" w:eastAsia="Times New Roman" w:hAnsi="Calibri" w:cs="Times New Roman"/>
                <w:szCs w:val="20"/>
                <w:lang w:val="en-GB" w:eastAsia="fr-FR"/>
              </w:rPr>
              <w:t xml:space="preserve"> </w:t>
            </w:r>
            <w:r w:rsidR="000A3B08" w:rsidRPr="00034FEE">
              <w:rPr>
                <w:rFonts w:ascii="Calibri" w:eastAsia="Times New Roman" w:hAnsi="Calibri" w:cs="Times New Roman"/>
                <w:szCs w:val="20"/>
                <w:lang w:val="en-GB" w:eastAsia="fr-FR"/>
              </w:rPr>
              <w:t>production</w:t>
            </w:r>
          </w:p>
        </w:tc>
      </w:tr>
      <w:tr w:rsidR="000A3B08" w14:paraId="3944CF70" w14:textId="77777777" w:rsidTr="00554A2C">
        <w:trPr>
          <w:trHeight w:val="283"/>
          <w:jc w:val="center"/>
        </w:trPr>
        <w:tc>
          <w:tcPr>
            <w:tcW w:w="1585" w:type="dxa"/>
            <w:vMerge/>
            <w:shd w:val="clear" w:color="auto" w:fill="FFFFFF" w:themeFill="background1"/>
            <w:vAlign w:val="center"/>
          </w:tcPr>
          <w:p w14:paraId="1C7FD2C6" w14:textId="77777777" w:rsidR="000A3B08" w:rsidRPr="008A2404" w:rsidRDefault="000A3B08" w:rsidP="00CE523D">
            <w:pPr>
              <w:spacing w:after="0"/>
              <w:jc w:val="center"/>
              <w:rPr>
                <w:rFonts w:ascii="Calibri" w:eastAsia="Times New Roman" w:hAnsi="Calibri" w:cs="Times New Roman"/>
                <w:b/>
                <w:szCs w:val="20"/>
                <w:lang w:val="en-GB" w:eastAsia="fr-FR"/>
              </w:rPr>
            </w:pPr>
          </w:p>
        </w:tc>
        <w:tc>
          <w:tcPr>
            <w:tcW w:w="1548" w:type="dxa"/>
            <w:shd w:val="clear" w:color="auto" w:fill="FFFFFF" w:themeFill="background1"/>
            <w:vAlign w:val="center"/>
          </w:tcPr>
          <w:p w14:paraId="6EC5B05F" w14:textId="77777777" w:rsidR="000A3B08" w:rsidRPr="00153C0B" w:rsidRDefault="000A3B08" w:rsidP="00CE523D">
            <w:pPr>
              <w:spacing w:after="0"/>
              <w:jc w:val="left"/>
              <w:rPr>
                <w:rFonts w:ascii="Calibri" w:eastAsia="Times New Roman" w:hAnsi="Calibri" w:cs="Times New Roman"/>
                <w:b/>
                <w:szCs w:val="20"/>
                <w:lang w:val="en-GB" w:eastAsia="fr-FR"/>
              </w:rPr>
            </w:pPr>
            <w:r>
              <w:rPr>
                <w:rFonts w:ascii="Calibri" w:eastAsia="Times New Roman" w:hAnsi="Calibri" w:cs="Times New Roman"/>
                <w:b/>
                <w:szCs w:val="20"/>
                <w:lang w:eastAsia="fr-FR"/>
              </w:rPr>
              <w:t>PROD.12</w:t>
            </w:r>
          </w:p>
        </w:tc>
        <w:tc>
          <w:tcPr>
            <w:tcW w:w="6478" w:type="dxa"/>
            <w:shd w:val="clear" w:color="auto" w:fill="FFFFFF" w:themeFill="background1"/>
            <w:vAlign w:val="center"/>
          </w:tcPr>
          <w:p w14:paraId="310C206D" w14:textId="208B1FEE" w:rsidR="000A3B08" w:rsidRPr="00810A15" w:rsidRDefault="00B62D56" w:rsidP="00CE523D">
            <w:pPr>
              <w:spacing w:after="0"/>
              <w:jc w:val="left"/>
              <w:rPr>
                <w:rFonts w:ascii="Calibri" w:eastAsia="Times New Roman" w:hAnsi="Calibri" w:cs="Times New Roman"/>
                <w:szCs w:val="20"/>
                <w:lang w:val="en-GB" w:eastAsia="fr-FR"/>
              </w:rPr>
            </w:pPr>
            <w:r>
              <w:rPr>
                <w:rFonts w:ascii="Calibri" w:eastAsia="Times New Roman" w:hAnsi="Calibri" w:cs="Times New Roman"/>
                <w:szCs w:val="20"/>
                <w:lang w:val="en-GB" w:eastAsia="fr-FR"/>
              </w:rPr>
              <w:t>O</w:t>
            </w:r>
            <w:r w:rsidR="000A3B08">
              <w:rPr>
                <w:rFonts w:ascii="Calibri" w:eastAsia="Times New Roman" w:hAnsi="Calibri" w:cs="Times New Roman"/>
                <w:szCs w:val="20"/>
                <w:lang w:val="en-GB" w:eastAsia="fr-FR"/>
              </w:rPr>
              <w:t xml:space="preserve">perated </w:t>
            </w:r>
            <w:r w:rsidR="000A3B08" w:rsidRPr="00810A15">
              <w:rPr>
                <w:rFonts w:ascii="Calibri" w:eastAsia="Times New Roman" w:hAnsi="Calibri" w:cs="Times New Roman"/>
                <w:szCs w:val="20"/>
                <w:lang w:val="en-GB" w:eastAsia="fr-FR"/>
              </w:rPr>
              <w:t>gas production</w:t>
            </w:r>
          </w:p>
        </w:tc>
      </w:tr>
      <w:tr w:rsidR="000A3B08" w14:paraId="36F7B923" w14:textId="77777777" w:rsidTr="003544A7">
        <w:trPr>
          <w:trHeight w:val="30"/>
          <w:jc w:val="center"/>
        </w:trPr>
        <w:tc>
          <w:tcPr>
            <w:tcW w:w="1585" w:type="dxa"/>
            <w:vMerge/>
            <w:shd w:val="clear" w:color="auto" w:fill="FFFFFF" w:themeFill="background1"/>
            <w:vAlign w:val="center"/>
          </w:tcPr>
          <w:p w14:paraId="1FD6CD5D" w14:textId="77777777" w:rsidR="000A3B08" w:rsidRPr="008A2404" w:rsidRDefault="000A3B08" w:rsidP="00CE523D">
            <w:pPr>
              <w:spacing w:after="0"/>
              <w:jc w:val="center"/>
              <w:rPr>
                <w:rFonts w:ascii="Calibri" w:eastAsia="Times New Roman" w:hAnsi="Calibri" w:cs="Times New Roman"/>
                <w:b/>
                <w:szCs w:val="20"/>
                <w:lang w:val="en-GB" w:eastAsia="fr-FR"/>
              </w:rPr>
            </w:pPr>
          </w:p>
        </w:tc>
        <w:tc>
          <w:tcPr>
            <w:tcW w:w="1548" w:type="dxa"/>
            <w:shd w:val="clear" w:color="auto" w:fill="FFFFFF" w:themeFill="background1"/>
            <w:vAlign w:val="center"/>
          </w:tcPr>
          <w:p w14:paraId="0E911BD1" w14:textId="77777777" w:rsidR="000A3B08" w:rsidRPr="00153C0B" w:rsidRDefault="000A3B08" w:rsidP="00CE523D">
            <w:pPr>
              <w:spacing w:after="0"/>
              <w:jc w:val="left"/>
              <w:rPr>
                <w:rFonts w:ascii="Calibri" w:eastAsia="Times New Roman" w:hAnsi="Calibri" w:cs="Times New Roman"/>
                <w:b/>
                <w:color w:val="0070C0"/>
                <w:szCs w:val="20"/>
                <w:lang w:val="en-GB" w:eastAsia="fr-FR"/>
              </w:rPr>
            </w:pPr>
            <w:r>
              <w:rPr>
                <w:rFonts w:ascii="Calibri" w:eastAsia="Times New Roman" w:hAnsi="Calibri" w:cs="Times New Roman"/>
                <w:b/>
                <w:color w:val="0070C0"/>
                <w:szCs w:val="20"/>
                <w:lang w:eastAsia="fr-FR"/>
              </w:rPr>
              <w:t>PROD.1</w:t>
            </w:r>
          </w:p>
        </w:tc>
        <w:tc>
          <w:tcPr>
            <w:tcW w:w="6478" w:type="dxa"/>
            <w:shd w:val="clear" w:color="auto" w:fill="FFFFFF" w:themeFill="background1"/>
            <w:vAlign w:val="center"/>
          </w:tcPr>
          <w:p w14:paraId="6FE4C8C9" w14:textId="1454B1F3" w:rsidR="000A3B08" w:rsidRPr="00810A15" w:rsidRDefault="000A3B08" w:rsidP="00CE523D">
            <w:pPr>
              <w:spacing w:after="0"/>
              <w:jc w:val="left"/>
              <w:rPr>
                <w:rFonts w:ascii="Calibri" w:eastAsia="Times New Roman" w:hAnsi="Calibri" w:cs="Times New Roman"/>
                <w:color w:val="0070C0"/>
                <w:szCs w:val="20"/>
                <w:lang w:val="en-GB" w:eastAsia="fr-FR"/>
              </w:rPr>
            </w:pPr>
            <w:r w:rsidRPr="00810A15">
              <w:rPr>
                <w:rFonts w:ascii="Calibri" w:eastAsia="Times New Roman" w:hAnsi="Calibri" w:cs="Times New Roman"/>
                <w:color w:val="0070C0"/>
                <w:szCs w:val="20"/>
                <w:lang w:val="en-GB" w:eastAsia="fr-FR"/>
              </w:rPr>
              <w:t xml:space="preserve">Gas as a share of </w:t>
            </w:r>
            <w:r>
              <w:rPr>
                <w:rFonts w:ascii="Calibri" w:eastAsia="Times New Roman" w:hAnsi="Calibri" w:cs="Times New Roman"/>
                <w:color w:val="0070C0"/>
                <w:szCs w:val="20"/>
                <w:lang w:val="en-GB" w:eastAsia="fr-FR"/>
              </w:rPr>
              <w:t xml:space="preserve">operated </w:t>
            </w:r>
            <w:r w:rsidRPr="00810A15">
              <w:rPr>
                <w:rFonts w:ascii="Calibri" w:eastAsia="Times New Roman" w:hAnsi="Calibri" w:cs="Times New Roman"/>
                <w:color w:val="0070C0"/>
                <w:szCs w:val="20"/>
                <w:lang w:val="en-GB" w:eastAsia="fr-FR"/>
              </w:rPr>
              <w:t>production</w:t>
            </w:r>
          </w:p>
        </w:tc>
      </w:tr>
      <w:tr w:rsidR="000A3B08" w14:paraId="32940A11" w14:textId="77777777" w:rsidTr="00554A2C">
        <w:trPr>
          <w:trHeight w:val="283"/>
          <w:jc w:val="center"/>
        </w:trPr>
        <w:tc>
          <w:tcPr>
            <w:tcW w:w="1585" w:type="dxa"/>
            <w:vMerge/>
            <w:shd w:val="clear" w:color="auto" w:fill="FFFFFF" w:themeFill="background1"/>
            <w:vAlign w:val="center"/>
          </w:tcPr>
          <w:p w14:paraId="58863FC4" w14:textId="77777777" w:rsidR="000A3B08" w:rsidRPr="008A2404" w:rsidRDefault="000A3B08" w:rsidP="00CE523D">
            <w:pPr>
              <w:spacing w:after="0"/>
              <w:jc w:val="center"/>
              <w:rPr>
                <w:rFonts w:ascii="Calibri" w:eastAsia="Times New Roman" w:hAnsi="Calibri" w:cs="Times New Roman"/>
                <w:b/>
                <w:szCs w:val="20"/>
                <w:lang w:val="en-GB" w:eastAsia="fr-FR"/>
              </w:rPr>
            </w:pPr>
          </w:p>
        </w:tc>
        <w:tc>
          <w:tcPr>
            <w:tcW w:w="1548" w:type="dxa"/>
            <w:shd w:val="clear" w:color="auto" w:fill="FFFFFF" w:themeFill="background1"/>
            <w:vAlign w:val="center"/>
          </w:tcPr>
          <w:p w14:paraId="31492A0E" w14:textId="77777777" w:rsidR="000A3B08" w:rsidRPr="00153C0B" w:rsidRDefault="000A3B08" w:rsidP="00CE523D">
            <w:pPr>
              <w:spacing w:after="0"/>
              <w:jc w:val="left"/>
              <w:rPr>
                <w:rFonts w:ascii="Calibri" w:eastAsia="Times New Roman" w:hAnsi="Calibri" w:cs="Times New Roman"/>
                <w:b/>
                <w:szCs w:val="20"/>
                <w:lang w:val="en-GB" w:eastAsia="fr-FR"/>
              </w:rPr>
            </w:pPr>
            <w:r>
              <w:rPr>
                <w:rFonts w:ascii="Calibri" w:eastAsia="Times New Roman" w:hAnsi="Calibri" w:cs="Times New Roman"/>
                <w:b/>
                <w:szCs w:val="20"/>
                <w:lang w:eastAsia="fr-FR"/>
              </w:rPr>
              <w:t>PROD.21</w:t>
            </w:r>
          </w:p>
        </w:tc>
        <w:tc>
          <w:tcPr>
            <w:tcW w:w="6478" w:type="dxa"/>
            <w:shd w:val="clear" w:color="auto" w:fill="FFFFFF" w:themeFill="background1"/>
            <w:vAlign w:val="center"/>
          </w:tcPr>
          <w:p w14:paraId="5EDF2B7C" w14:textId="3CCB3B66" w:rsidR="000A3B08" w:rsidRPr="00810A15" w:rsidRDefault="00B62D56" w:rsidP="00CE523D">
            <w:pPr>
              <w:spacing w:after="0"/>
              <w:jc w:val="left"/>
              <w:rPr>
                <w:rFonts w:ascii="Calibri" w:eastAsia="Times New Roman" w:hAnsi="Calibri" w:cs="Times New Roman"/>
                <w:szCs w:val="20"/>
                <w:lang w:val="en-GB" w:eastAsia="fr-FR"/>
              </w:rPr>
            </w:pPr>
            <w:r>
              <w:rPr>
                <w:rFonts w:ascii="Calibri" w:eastAsia="Times New Roman" w:hAnsi="Calibri" w:cs="Times New Roman"/>
                <w:szCs w:val="20"/>
                <w:lang w:val="en-GB" w:eastAsia="fr-FR"/>
              </w:rPr>
              <w:t>Oil and gas</w:t>
            </w:r>
            <w:r w:rsidR="000A3B08" w:rsidRPr="00810A15">
              <w:rPr>
                <w:rFonts w:ascii="Calibri" w:eastAsia="Times New Roman" w:hAnsi="Calibri" w:cs="Times New Roman"/>
                <w:szCs w:val="20"/>
                <w:lang w:val="en-GB" w:eastAsia="fr-FR"/>
              </w:rPr>
              <w:t xml:space="preserve"> production – equity</w:t>
            </w:r>
          </w:p>
        </w:tc>
      </w:tr>
      <w:tr w:rsidR="000A3B08" w14:paraId="20A4D1F2" w14:textId="77777777" w:rsidTr="00554A2C">
        <w:trPr>
          <w:trHeight w:val="283"/>
          <w:jc w:val="center"/>
        </w:trPr>
        <w:tc>
          <w:tcPr>
            <w:tcW w:w="1585" w:type="dxa"/>
            <w:vMerge/>
            <w:shd w:val="clear" w:color="auto" w:fill="FFFFFF" w:themeFill="background1"/>
            <w:vAlign w:val="center"/>
          </w:tcPr>
          <w:p w14:paraId="7452F5BB" w14:textId="77777777" w:rsidR="000A3B08" w:rsidRPr="008A2404" w:rsidRDefault="000A3B08" w:rsidP="00CE523D">
            <w:pPr>
              <w:spacing w:after="0"/>
              <w:jc w:val="center"/>
              <w:rPr>
                <w:rFonts w:ascii="Calibri" w:eastAsia="Times New Roman" w:hAnsi="Calibri" w:cs="Times New Roman"/>
                <w:b/>
                <w:szCs w:val="20"/>
                <w:lang w:val="en-GB" w:eastAsia="fr-FR"/>
              </w:rPr>
            </w:pPr>
          </w:p>
        </w:tc>
        <w:tc>
          <w:tcPr>
            <w:tcW w:w="1548" w:type="dxa"/>
            <w:shd w:val="clear" w:color="auto" w:fill="FFFFFF" w:themeFill="background1"/>
            <w:vAlign w:val="center"/>
          </w:tcPr>
          <w:p w14:paraId="2DA9F2AF" w14:textId="77777777" w:rsidR="000A3B08" w:rsidRPr="00153C0B" w:rsidRDefault="000A3B08" w:rsidP="00CE523D">
            <w:pPr>
              <w:spacing w:after="0"/>
              <w:jc w:val="left"/>
              <w:rPr>
                <w:rFonts w:ascii="Calibri" w:eastAsia="Times New Roman" w:hAnsi="Calibri" w:cs="Times New Roman"/>
                <w:b/>
                <w:szCs w:val="20"/>
                <w:lang w:val="en-GB" w:eastAsia="fr-FR"/>
              </w:rPr>
            </w:pPr>
            <w:r>
              <w:rPr>
                <w:rFonts w:ascii="Calibri" w:eastAsia="Times New Roman" w:hAnsi="Calibri" w:cs="Times New Roman"/>
                <w:b/>
                <w:szCs w:val="20"/>
                <w:lang w:eastAsia="fr-FR"/>
              </w:rPr>
              <w:t>PROD.22</w:t>
            </w:r>
          </w:p>
        </w:tc>
        <w:tc>
          <w:tcPr>
            <w:tcW w:w="6478" w:type="dxa"/>
            <w:shd w:val="clear" w:color="auto" w:fill="FFFFFF" w:themeFill="background1"/>
            <w:vAlign w:val="center"/>
          </w:tcPr>
          <w:p w14:paraId="6BCFDED7" w14:textId="77777777" w:rsidR="000A3B08" w:rsidRPr="00810A15" w:rsidRDefault="000A3B08" w:rsidP="00CE523D">
            <w:pPr>
              <w:spacing w:after="0"/>
              <w:jc w:val="left"/>
              <w:rPr>
                <w:rFonts w:ascii="Calibri" w:eastAsia="Times New Roman" w:hAnsi="Calibri" w:cs="Times New Roman"/>
                <w:szCs w:val="20"/>
                <w:lang w:val="en-GB" w:eastAsia="fr-FR"/>
              </w:rPr>
            </w:pPr>
            <w:r w:rsidRPr="00810A15">
              <w:rPr>
                <w:rFonts w:ascii="Calibri" w:eastAsia="Times New Roman" w:hAnsi="Calibri" w:cs="Times New Roman"/>
                <w:szCs w:val="20"/>
                <w:lang w:val="en-GB" w:eastAsia="fr-FR"/>
              </w:rPr>
              <w:t xml:space="preserve">Total </w:t>
            </w:r>
            <w:r>
              <w:rPr>
                <w:rFonts w:ascii="Calibri" w:eastAsia="Times New Roman" w:hAnsi="Calibri" w:cs="Times New Roman"/>
                <w:szCs w:val="20"/>
                <w:lang w:val="en-GB" w:eastAsia="fr-FR"/>
              </w:rPr>
              <w:t xml:space="preserve">of </w:t>
            </w:r>
            <w:r w:rsidRPr="00810A15">
              <w:rPr>
                <w:rFonts w:ascii="Calibri" w:eastAsia="Times New Roman" w:hAnsi="Calibri" w:cs="Times New Roman"/>
                <w:szCs w:val="20"/>
                <w:lang w:val="en-GB" w:eastAsia="fr-FR"/>
              </w:rPr>
              <w:t>gas production – equity</w:t>
            </w:r>
          </w:p>
        </w:tc>
      </w:tr>
      <w:tr w:rsidR="000A3B08" w14:paraId="0CABADC4" w14:textId="77777777" w:rsidTr="00554A2C">
        <w:trPr>
          <w:trHeight w:val="283"/>
          <w:jc w:val="center"/>
        </w:trPr>
        <w:tc>
          <w:tcPr>
            <w:tcW w:w="1585" w:type="dxa"/>
            <w:vMerge/>
            <w:shd w:val="clear" w:color="auto" w:fill="FFFFFF" w:themeFill="background1"/>
            <w:vAlign w:val="center"/>
          </w:tcPr>
          <w:p w14:paraId="383EC3F7" w14:textId="77777777" w:rsidR="000A3B08" w:rsidRPr="00B96572" w:rsidRDefault="000A3B08" w:rsidP="000A3B08">
            <w:pPr>
              <w:spacing w:after="0"/>
              <w:jc w:val="center"/>
              <w:rPr>
                <w:rFonts w:ascii="Calibri" w:eastAsia="Times New Roman" w:hAnsi="Calibri" w:cs="Times New Roman"/>
                <w:b/>
                <w:szCs w:val="20"/>
                <w:lang w:val="en-US" w:eastAsia="fr-FR"/>
              </w:rPr>
            </w:pPr>
          </w:p>
        </w:tc>
        <w:tc>
          <w:tcPr>
            <w:tcW w:w="1548" w:type="dxa"/>
            <w:shd w:val="clear" w:color="auto" w:fill="FFFFFF" w:themeFill="background1"/>
            <w:vAlign w:val="center"/>
          </w:tcPr>
          <w:p w14:paraId="5AF0BF5C" w14:textId="6DC64910" w:rsidR="000A3B08" w:rsidRPr="00D33A76" w:rsidRDefault="000A3B08" w:rsidP="000A3B08">
            <w:pPr>
              <w:spacing w:after="0"/>
              <w:jc w:val="left"/>
              <w:rPr>
                <w:rFonts w:ascii="Calibri" w:eastAsia="Times New Roman" w:hAnsi="Calibri" w:cs="Times New Roman"/>
                <w:b/>
                <w:color w:val="0070C0"/>
                <w:szCs w:val="20"/>
                <w:lang w:eastAsia="fr-FR"/>
              </w:rPr>
            </w:pPr>
            <w:r w:rsidRPr="00D33A76">
              <w:rPr>
                <w:rFonts w:ascii="Calibri" w:eastAsia="Times New Roman" w:hAnsi="Calibri" w:cs="Times New Roman"/>
                <w:b/>
                <w:szCs w:val="20"/>
                <w:lang w:eastAsia="fr-FR"/>
              </w:rPr>
              <w:t>PROD.3</w:t>
            </w:r>
          </w:p>
        </w:tc>
        <w:tc>
          <w:tcPr>
            <w:tcW w:w="6478" w:type="dxa"/>
            <w:shd w:val="clear" w:color="auto" w:fill="FFFFFF" w:themeFill="background1"/>
            <w:vAlign w:val="center"/>
          </w:tcPr>
          <w:p w14:paraId="60EA0416" w14:textId="41A77858" w:rsidR="000A3B08" w:rsidRPr="00D33A76" w:rsidRDefault="000A3B08">
            <w:pPr>
              <w:spacing w:after="0"/>
              <w:jc w:val="left"/>
              <w:rPr>
                <w:rFonts w:ascii="Calibri" w:eastAsia="Times New Roman" w:hAnsi="Calibri" w:cs="Times New Roman"/>
                <w:color w:val="0070C0"/>
                <w:szCs w:val="20"/>
                <w:lang w:val="en-US" w:eastAsia="fr-FR"/>
              </w:rPr>
            </w:pPr>
            <w:r w:rsidRPr="00D33A76">
              <w:rPr>
                <w:rFonts w:ascii="Calibri" w:eastAsia="Times New Roman" w:hAnsi="Calibri" w:cs="Times New Roman"/>
                <w:szCs w:val="20"/>
                <w:lang w:val="en-US" w:eastAsia="fr-FR"/>
              </w:rPr>
              <w:t>Total of hydrocarbon production not operated by a</w:t>
            </w:r>
            <w:r w:rsidR="00D0026C" w:rsidRPr="00D33A76">
              <w:rPr>
                <w:rFonts w:ascii="Calibri" w:eastAsia="Times New Roman" w:hAnsi="Calibri" w:cs="Times New Roman"/>
                <w:szCs w:val="20"/>
                <w:lang w:val="en-US" w:eastAsia="fr-FR"/>
              </w:rPr>
              <w:t>n</w:t>
            </w:r>
            <w:r w:rsidR="003A5067" w:rsidRPr="00D33A76">
              <w:rPr>
                <w:rFonts w:ascii="Calibri" w:eastAsia="Times New Roman" w:hAnsi="Calibri" w:cs="Times New Roman"/>
                <w:szCs w:val="20"/>
                <w:lang w:val="en-US" w:eastAsia="fr-FR"/>
              </w:rPr>
              <w:t>other</w:t>
            </w:r>
            <w:r w:rsidR="00D0026C" w:rsidRPr="00D33A76">
              <w:rPr>
                <w:rFonts w:ascii="Calibri" w:eastAsia="Times New Roman" w:hAnsi="Calibri" w:cs="Times New Roman"/>
                <w:szCs w:val="20"/>
                <w:lang w:val="en-US" w:eastAsia="fr-FR"/>
              </w:rPr>
              <w:t xml:space="preserve"> </w:t>
            </w:r>
            <w:r w:rsidRPr="00D33A76">
              <w:rPr>
                <w:rFonts w:ascii="Calibri" w:eastAsia="Times New Roman" w:hAnsi="Calibri" w:cs="Times New Roman"/>
                <w:szCs w:val="20"/>
                <w:lang w:val="en-US" w:eastAsia="fr-FR"/>
              </w:rPr>
              <w:t>OGCI member company– equity</w:t>
            </w:r>
          </w:p>
        </w:tc>
      </w:tr>
      <w:tr w:rsidR="000A3B08" w14:paraId="65689F87" w14:textId="77777777" w:rsidTr="00554A2C">
        <w:trPr>
          <w:trHeight w:val="283"/>
          <w:jc w:val="center"/>
        </w:trPr>
        <w:tc>
          <w:tcPr>
            <w:tcW w:w="1585" w:type="dxa"/>
            <w:vMerge w:val="restart"/>
            <w:shd w:val="clear" w:color="auto" w:fill="F2F2F2" w:themeFill="background1" w:themeFillShade="F2"/>
            <w:vAlign w:val="center"/>
          </w:tcPr>
          <w:p w14:paraId="11D72B40" w14:textId="77777777" w:rsidR="000A3B08" w:rsidRPr="008A2404" w:rsidRDefault="000A3B08" w:rsidP="000A3B08">
            <w:pPr>
              <w:spacing w:after="0"/>
              <w:jc w:val="center"/>
              <w:rPr>
                <w:rFonts w:ascii="Calibri" w:eastAsia="Times New Roman" w:hAnsi="Calibri" w:cs="Times New Roman"/>
                <w:b/>
                <w:szCs w:val="20"/>
                <w:lang w:val="en-GB" w:eastAsia="fr-FR"/>
              </w:rPr>
            </w:pPr>
            <w:r>
              <w:rPr>
                <w:rFonts w:ascii="Calibri" w:eastAsia="Times New Roman" w:hAnsi="Calibri" w:cs="Times New Roman"/>
                <w:b/>
                <w:szCs w:val="20"/>
                <w:lang w:val="en-GB" w:eastAsia="fr-FR"/>
              </w:rPr>
              <w:t>GHG emissions</w:t>
            </w:r>
          </w:p>
        </w:tc>
        <w:tc>
          <w:tcPr>
            <w:tcW w:w="1548" w:type="dxa"/>
            <w:shd w:val="clear" w:color="auto" w:fill="F2F2F2" w:themeFill="background1" w:themeFillShade="F2"/>
            <w:vAlign w:val="center"/>
          </w:tcPr>
          <w:p w14:paraId="06A2FA70" w14:textId="77777777" w:rsidR="000A3B08" w:rsidRPr="00D33A76" w:rsidRDefault="000A3B08" w:rsidP="000A3B08">
            <w:pPr>
              <w:spacing w:after="0"/>
              <w:jc w:val="left"/>
              <w:rPr>
                <w:rFonts w:ascii="Calibri" w:eastAsia="Times New Roman" w:hAnsi="Calibri" w:cs="Times New Roman"/>
                <w:b/>
                <w:szCs w:val="20"/>
                <w:lang w:val="en-GB" w:eastAsia="fr-FR"/>
              </w:rPr>
            </w:pPr>
            <w:r w:rsidRPr="00D33A76">
              <w:rPr>
                <w:rFonts w:ascii="Calibri" w:eastAsia="Times New Roman" w:hAnsi="Calibri" w:cs="Times New Roman"/>
                <w:b/>
                <w:szCs w:val="20"/>
                <w:lang w:val="en-GB" w:eastAsia="fr-FR"/>
              </w:rPr>
              <w:t>GHG.1</w:t>
            </w:r>
          </w:p>
        </w:tc>
        <w:tc>
          <w:tcPr>
            <w:tcW w:w="6478" w:type="dxa"/>
            <w:shd w:val="clear" w:color="auto" w:fill="F2F2F2" w:themeFill="background1" w:themeFillShade="F2"/>
            <w:vAlign w:val="center"/>
          </w:tcPr>
          <w:p w14:paraId="356E5967" w14:textId="1971C6A4" w:rsidR="000A3B08" w:rsidRPr="00D33A76" w:rsidRDefault="006D3654" w:rsidP="000A3B08">
            <w:pPr>
              <w:spacing w:after="0"/>
              <w:jc w:val="left"/>
              <w:rPr>
                <w:rFonts w:ascii="Calibri" w:eastAsia="Times New Roman" w:hAnsi="Calibri" w:cs="Times New Roman"/>
                <w:szCs w:val="20"/>
                <w:lang w:val="en-GB" w:eastAsia="fr-FR"/>
              </w:rPr>
            </w:pPr>
            <w:r w:rsidRPr="00D33A76">
              <w:rPr>
                <w:rFonts w:ascii="Calibri" w:eastAsia="Times New Roman" w:hAnsi="Calibri" w:cs="Times New Roman"/>
                <w:szCs w:val="20"/>
                <w:lang w:val="en-GB" w:eastAsia="fr-FR"/>
              </w:rPr>
              <w:t>Total o</w:t>
            </w:r>
            <w:r w:rsidR="000A3B08" w:rsidRPr="00D33A76">
              <w:rPr>
                <w:rFonts w:ascii="Calibri" w:eastAsia="Times New Roman" w:hAnsi="Calibri" w:cs="Times New Roman"/>
                <w:szCs w:val="20"/>
                <w:lang w:val="en-GB" w:eastAsia="fr-FR"/>
              </w:rPr>
              <w:t>perated GHG emissions Scope 1</w:t>
            </w:r>
          </w:p>
        </w:tc>
      </w:tr>
      <w:tr w:rsidR="000A3B08" w14:paraId="0C5E1D99" w14:textId="77777777" w:rsidTr="00554A2C">
        <w:trPr>
          <w:trHeight w:val="283"/>
          <w:jc w:val="center"/>
        </w:trPr>
        <w:tc>
          <w:tcPr>
            <w:tcW w:w="1585" w:type="dxa"/>
            <w:vMerge/>
            <w:shd w:val="clear" w:color="auto" w:fill="F2F2F2" w:themeFill="background1" w:themeFillShade="F2"/>
            <w:vAlign w:val="center"/>
          </w:tcPr>
          <w:p w14:paraId="79BCF972" w14:textId="77777777" w:rsidR="000A3B08" w:rsidRPr="008A2404" w:rsidRDefault="000A3B08" w:rsidP="000A3B08">
            <w:pPr>
              <w:spacing w:after="0"/>
              <w:jc w:val="center"/>
              <w:rPr>
                <w:rFonts w:ascii="Calibri" w:eastAsia="Times New Roman" w:hAnsi="Calibri" w:cs="Times New Roman"/>
                <w:b/>
                <w:szCs w:val="20"/>
                <w:lang w:val="en-GB" w:eastAsia="fr-FR"/>
              </w:rPr>
            </w:pPr>
          </w:p>
        </w:tc>
        <w:tc>
          <w:tcPr>
            <w:tcW w:w="1548" w:type="dxa"/>
            <w:shd w:val="clear" w:color="auto" w:fill="F2F2F2" w:themeFill="background1" w:themeFillShade="F2"/>
            <w:vAlign w:val="center"/>
          </w:tcPr>
          <w:p w14:paraId="61BA90D5" w14:textId="77777777" w:rsidR="000A3B08" w:rsidRPr="00D33A76" w:rsidRDefault="000A3B08" w:rsidP="000A3B08">
            <w:pPr>
              <w:spacing w:after="0"/>
              <w:jc w:val="left"/>
              <w:rPr>
                <w:rFonts w:ascii="Calibri" w:eastAsia="Times New Roman" w:hAnsi="Calibri" w:cs="Times New Roman"/>
                <w:b/>
                <w:szCs w:val="20"/>
                <w:lang w:val="en-GB" w:eastAsia="fr-FR"/>
              </w:rPr>
            </w:pPr>
            <w:r w:rsidRPr="00D33A76">
              <w:rPr>
                <w:rFonts w:ascii="Calibri" w:eastAsia="Times New Roman" w:hAnsi="Calibri" w:cs="Times New Roman"/>
                <w:b/>
                <w:szCs w:val="20"/>
                <w:lang w:val="en-GB" w:eastAsia="fr-FR"/>
              </w:rPr>
              <w:t>GHG.11</w:t>
            </w:r>
          </w:p>
        </w:tc>
        <w:tc>
          <w:tcPr>
            <w:tcW w:w="6478" w:type="dxa"/>
            <w:shd w:val="clear" w:color="auto" w:fill="F2F2F2" w:themeFill="background1" w:themeFillShade="F2"/>
            <w:vAlign w:val="center"/>
          </w:tcPr>
          <w:p w14:paraId="4D53367C" w14:textId="3CDE3F8B" w:rsidR="000A3B08" w:rsidRPr="00D33A76" w:rsidRDefault="006D3654" w:rsidP="000A3B08">
            <w:pPr>
              <w:spacing w:after="0"/>
              <w:jc w:val="left"/>
              <w:rPr>
                <w:rFonts w:ascii="Calibri" w:eastAsia="Times New Roman" w:hAnsi="Calibri" w:cs="Times New Roman"/>
                <w:i/>
                <w:szCs w:val="20"/>
                <w:lang w:val="en-GB" w:eastAsia="fr-FR"/>
              </w:rPr>
            </w:pPr>
            <w:r w:rsidRPr="00D33A76">
              <w:rPr>
                <w:rFonts w:ascii="Calibri" w:eastAsia="Times New Roman" w:hAnsi="Calibri" w:cs="Times New Roman"/>
                <w:i/>
                <w:szCs w:val="20"/>
                <w:lang w:val="en-GB" w:eastAsia="fr-FR"/>
              </w:rPr>
              <w:t>O</w:t>
            </w:r>
            <w:r w:rsidR="000A3B08" w:rsidRPr="00D33A76">
              <w:rPr>
                <w:rFonts w:ascii="Calibri" w:eastAsia="Times New Roman" w:hAnsi="Calibri" w:cs="Times New Roman"/>
                <w:i/>
                <w:szCs w:val="20"/>
                <w:lang w:val="en-GB" w:eastAsia="fr-FR"/>
              </w:rPr>
              <w:t>perated GHG emissions Scope 1 - Upstream</w:t>
            </w:r>
          </w:p>
        </w:tc>
      </w:tr>
      <w:tr w:rsidR="000A3B08" w14:paraId="0931BD17" w14:textId="77777777" w:rsidTr="00554A2C">
        <w:trPr>
          <w:trHeight w:val="283"/>
          <w:jc w:val="center"/>
        </w:trPr>
        <w:tc>
          <w:tcPr>
            <w:tcW w:w="1585" w:type="dxa"/>
            <w:vMerge/>
            <w:shd w:val="clear" w:color="auto" w:fill="F2F2F2" w:themeFill="background1" w:themeFillShade="F2"/>
            <w:vAlign w:val="center"/>
          </w:tcPr>
          <w:p w14:paraId="6184195D" w14:textId="77777777" w:rsidR="000A3B08" w:rsidRPr="00503995" w:rsidRDefault="000A3B08" w:rsidP="000A3B08">
            <w:pPr>
              <w:spacing w:after="0"/>
              <w:jc w:val="center"/>
              <w:rPr>
                <w:rFonts w:ascii="Calibri" w:eastAsia="Times New Roman" w:hAnsi="Calibri" w:cs="Times New Roman"/>
                <w:b/>
                <w:szCs w:val="20"/>
                <w:lang w:val="en-GB" w:eastAsia="fr-FR"/>
              </w:rPr>
            </w:pPr>
          </w:p>
        </w:tc>
        <w:tc>
          <w:tcPr>
            <w:tcW w:w="1548" w:type="dxa"/>
            <w:shd w:val="clear" w:color="auto" w:fill="F2F2F2" w:themeFill="background1" w:themeFillShade="F2"/>
            <w:vAlign w:val="center"/>
          </w:tcPr>
          <w:p w14:paraId="23CDF2C8" w14:textId="77777777" w:rsidR="000A3B08" w:rsidRPr="00D33A76" w:rsidRDefault="000A3B08" w:rsidP="000A3B08">
            <w:pPr>
              <w:spacing w:after="0"/>
              <w:jc w:val="left"/>
              <w:rPr>
                <w:rFonts w:ascii="Calibri" w:eastAsia="Times New Roman" w:hAnsi="Calibri" w:cs="Times New Roman"/>
                <w:b/>
                <w:szCs w:val="20"/>
                <w:lang w:eastAsia="fr-FR"/>
              </w:rPr>
            </w:pPr>
            <w:r w:rsidRPr="00D33A76">
              <w:rPr>
                <w:rFonts w:ascii="Calibri" w:eastAsia="Times New Roman" w:hAnsi="Calibri" w:cs="Times New Roman"/>
                <w:b/>
                <w:szCs w:val="20"/>
                <w:lang w:val="en-GB" w:eastAsia="fr-FR"/>
              </w:rPr>
              <w:t>GHG.21</w:t>
            </w:r>
          </w:p>
        </w:tc>
        <w:tc>
          <w:tcPr>
            <w:tcW w:w="6478" w:type="dxa"/>
            <w:shd w:val="clear" w:color="auto" w:fill="F2F2F2" w:themeFill="background1" w:themeFillShade="F2"/>
            <w:vAlign w:val="center"/>
          </w:tcPr>
          <w:p w14:paraId="2EE7AF02" w14:textId="576B738F" w:rsidR="000A3B08" w:rsidRPr="00D33A76" w:rsidRDefault="006D3654" w:rsidP="000A3B08">
            <w:pPr>
              <w:spacing w:after="0"/>
              <w:jc w:val="left"/>
              <w:rPr>
                <w:rFonts w:ascii="Calibri" w:eastAsia="Times New Roman" w:hAnsi="Calibri" w:cs="Times New Roman"/>
                <w:szCs w:val="20"/>
                <w:lang w:val="en-GB" w:eastAsia="fr-FR"/>
              </w:rPr>
            </w:pPr>
            <w:r w:rsidRPr="00D33A76">
              <w:rPr>
                <w:rFonts w:ascii="Calibri" w:eastAsia="Times New Roman" w:hAnsi="Calibri" w:cs="Times New Roman"/>
                <w:szCs w:val="20"/>
                <w:lang w:val="en-GB" w:eastAsia="fr-FR"/>
              </w:rPr>
              <w:t>O</w:t>
            </w:r>
            <w:r w:rsidR="000A3B08" w:rsidRPr="00D33A76">
              <w:rPr>
                <w:rFonts w:ascii="Calibri" w:eastAsia="Times New Roman" w:hAnsi="Calibri" w:cs="Times New Roman"/>
                <w:szCs w:val="20"/>
                <w:lang w:val="en-GB" w:eastAsia="fr-FR"/>
              </w:rPr>
              <w:t>perated GHG emissions Scope 2 – Upstream</w:t>
            </w:r>
          </w:p>
        </w:tc>
      </w:tr>
      <w:tr w:rsidR="000A3B08" w14:paraId="5630D9D1" w14:textId="77777777" w:rsidTr="00554A2C">
        <w:trPr>
          <w:trHeight w:val="283"/>
          <w:jc w:val="center"/>
        </w:trPr>
        <w:tc>
          <w:tcPr>
            <w:tcW w:w="1585" w:type="dxa"/>
            <w:vMerge/>
            <w:shd w:val="clear" w:color="auto" w:fill="F2F2F2" w:themeFill="background1" w:themeFillShade="F2"/>
            <w:vAlign w:val="center"/>
          </w:tcPr>
          <w:p w14:paraId="01691985" w14:textId="77777777" w:rsidR="000A3B08" w:rsidRPr="00B96572" w:rsidRDefault="000A3B08" w:rsidP="000A3B08">
            <w:pPr>
              <w:spacing w:after="0"/>
              <w:jc w:val="center"/>
              <w:rPr>
                <w:rFonts w:ascii="Calibri" w:eastAsia="Times New Roman" w:hAnsi="Calibri" w:cs="Times New Roman"/>
                <w:b/>
                <w:szCs w:val="20"/>
                <w:lang w:val="en-US" w:eastAsia="fr-FR"/>
              </w:rPr>
            </w:pPr>
          </w:p>
        </w:tc>
        <w:tc>
          <w:tcPr>
            <w:tcW w:w="1548" w:type="dxa"/>
            <w:shd w:val="clear" w:color="auto" w:fill="F2F2F2" w:themeFill="background1" w:themeFillShade="F2"/>
            <w:vAlign w:val="center"/>
          </w:tcPr>
          <w:p w14:paraId="3804B60B" w14:textId="215D69FA" w:rsidR="000A3B08" w:rsidRPr="00D33A76" w:rsidRDefault="000A3B08" w:rsidP="000A3B08">
            <w:pPr>
              <w:spacing w:after="0"/>
              <w:jc w:val="left"/>
              <w:rPr>
                <w:rFonts w:ascii="Calibri" w:eastAsia="Times New Roman" w:hAnsi="Calibri" w:cs="Times New Roman"/>
                <w:b/>
                <w:szCs w:val="20"/>
                <w:lang w:eastAsia="fr-FR"/>
              </w:rPr>
            </w:pPr>
            <w:r w:rsidRPr="00D33A76">
              <w:rPr>
                <w:rFonts w:ascii="Calibri" w:eastAsia="Times New Roman" w:hAnsi="Calibri" w:cs="Times New Roman"/>
                <w:b/>
                <w:szCs w:val="20"/>
                <w:lang w:eastAsia="fr-FR"/>
              </w:rPr>
              <w:t>GHG.41</w:t>
            </w:r>
          </w:p>
        </w:tc>
        <w:tc>
          <w:tcPr>
            <w:tcW w:w="6478" w:type="dxa"/>
            <w:shd w:val="clear" w:color="auto" w:fill="F2F2F2" w:themeFill="background1" w:themeFillShade="F2"/>
            <w:vAlign w:val="center"/>
          </w:tcPr>
          <w:p w14:paraId="27C89CB7" w14:textId="17B763E7" w:rsidR="000A3B08" w:rsidRPr="00D33A76" w:rsidRDefault="000A3B08" w:rsidP="000A3B08">
            <w:pPr>
              <w:spacing w:after="0"/>
              <w:jc w:val="left"/>
              <w:rPr>
                <w:rFonts w:ascii="Calibri" w:eastAsia="Times New Roman" w:hAnsi="Calibri" w:cs="Times New Roman"/>
                <w:iCs/>
                <w:szCs w:val="20"/>
                <w:lang w:val="en-US" w:eastAsia="fr-FR"/>
              </w:rPr>
            </w:pPr>
            <w:r w:rsidRPr="00D33A76">
              <w:rPr>
                <w:rFonts w:ascii="Calibri" w:eastAsia="Times New Roman" w:hAnsi="Calibri" w:cs="Times New Roman"/>
                <w:iCs/>
                <w:szCs w:val="20"/>
                <w:lang w:val="en-US" w:eastAsia="fr-FR"/>
              </w:rPr>
              <w:t xml:space="preserve">GHG emissions of exported electricity, steam, </w:t>
            </w:r>
            <w:proofErr w:type="gramStart"/>
            <w:r w:rsidRPr="00D33A76">
              <w:rPr>
                <w:rFonts w:ascii="Calibri" w:eastAsia="Times New Roman" w:hAnsi="Calibri" w:cs="Times New Roman"/>
                <w:iCs/>
                <w:szCs w:val="20"/>
                <w:lang w:val="en-US" w:eastAsia="fr-FR"/>
              </w:rPr>
              <w:t>heat</w:t>
            </w:r>
            <w:proofErr w:type="gramEnd"/>
            <w:r w:rsidRPr="00D33A76">
              <w:rPr>
                <w:rFonts w:ascii="Calibri" w:eastAsia="Times New Roman" w:hAnsi="Calibri" w:cs="Times New Roman"/>
                <w:iCs/>
                <w:szCs w:val="20"/>
                <w:lang w:val="en-US" w:eastAsia="fr-FR"/>
              </w:rPr>
              <w:t xml:space="preserve"> and cooling – Upstream</w:t>
            </w:r>
          </w:p>
        </w:tc>
      </w:tr>
      <w:tr w:rsidR="000A3B08" w14:paraId="5379F540" w14:textId="77777777" w:rsidTr="00554A2C">
        <w:trPr>
          <w:trHeight w:val="283"/>
          <w:jc w:val="center"/>
        </w:trPr>
        <w:tc>
          <w:tcPr>
            <w:tcW w:w="1585" w:type="dxa"/>
            <w:vMerge/>
            <w:shd w:val="clear" w:color="auto" w:fill="F2F2F2" w:themeFill="background1" w:themeFillShade="F2"/>
            <w:vAlign w:val="center"/>
          </w:tcPr>
          <w:p w14:paraId="1CD5CBE5" w14:textId="77777777" w:rsidR="000A3B08" w:rsidRPr="00503995" w:rsidRDefault="000A3B08" w:rsidP="000A3B08">
            <w:pPr>
              <w:spacing w:after="0"/>
              <w:jc w:val="center"/>
              <w:rPr>
                <w:rFonts w:ascii="Calibri" w:eastAsia="Times New Roman" w:hAnsi="Calibri" w:cs="Times New Roman"/>
                <w:b/>
                <w:szCs w:val="20"/>
                <w:lang w:val="en-GB" w:eastAsia="fr-FR"/>
              </w:rPr>
            </w:pPr>
          </w:p>
        </w:tc>
        <w:tc>
          <w:tcPr>
            <w:tcW w:w="1548" w:type="dxa"/>
            <w:shd w:val="clear" w:color="auto" w:fill="F2F2F2" w:themeFill="background1" w:themeFillShade="F2"/>
            <w:vAlign w:val="center"/>
          </w:tcPr>
          <w:p w14:paraId="50FBCD2F" w14:textId="77777777" w:rsidR="000A3B08" w:rsidRPr="00D33A76" w:rsidRDefault="000A3B08" w:rsidP="000A3B08">
            <w:pPr>
              <w:spacing w:after="0"/>
              <w:jc w:val="left"/>
              <w:rPr>
                <w:rFonts w:ascii="Calibri" w:eastAsia="Times New Roman" w:hAnsi="Calibri" w:cs="Times New Roman"/>
                <w:b/>
                <w:color w:val="0070C0"/>
                <w:szCs w:val="20"/>
                <w:lang w:eastAsia="fr-FR"/>
              </w:rPr>
            </w:pPr>
            <w:r w:rsidRPr="00D33A76">
              <w:rPr>
                <w:rFonts w:ascii="Calibri" w:eastAsia="Times New Roman" w:hAnsi="Calibri" w:cs="Times New Roman"/>
                <w:b/>
                <w:color w:val="0070C0"/>
                <w:szCs w:val="20"/>
                <w:lang w:eastAsia="fr-FR"/>
              </w:rPr>
              <w:t>CAR</w:t>
            </w:r>
          </w:p>
        </w:tc>
        <w:tc>
          <w:tcPr>
            <w:tcW w:w="6478" w:type="dxa"/>
            <w:shd w:val="clear" w:color="auto" w:fill="F2F2F2" w:themeFill="background1" w:themeFillShade="F2"/>
            <w:vAlign w:val="center"/>
          </w:tcPr>
          <w:p w14:paraId="66FB585E" w14:textId="77777777" w:rsidR="000A3B08" w:rsidRPr="00D33A76" w:rsidRDefault="000A3B08" w:rsidP="000A3B08">
            <w:pPr>
              <w:spacing w:after="0"/>
              <w:jc w:val="left"/>
              <w:rPr>
                <w:rFonts w:ascii="Calibri" w:eastAsia="Times New Roman" w:hAnsi="Calibri" w:cs="Times New Roman"/>
                <w:szCs w:val="20"/>
                <w:lang w:eastAsia="fr-FR"/>
              </w:rPr>
            </w:pPr>
            <w:r w:rsidRPr="00D33A76">
              <w:rPr>
                <w:rFonts w:ascii="Calibri" w:eastAsia="Times New Roman" w:hAnsi="Calibri" w:cs="Times New Roman"/>
                <w:bCs/>
                <w:color w:val="0070C0"/>
                <w:szCs w:val="20"/>
                <w:lang w:val="en-GB" w:eastAsia="it-IT"/>
              </w:rPr>
              <w:t>Upstream carbon intensity</w:t>
            </w:r>
          </w:p>
        </w:tc>
      </w:tr>
      <w:tr w:rsidR="00554A2C" w:rsidRPr="00810A15" w14:paraId="17FB243C" w14:textId="77777777" w:rsidTr="007D79AA">
        <w:trPr>
          <w:trHeight w:val="283"/>
          <w:jc w:val="center"/>
        </w:trPr>
        <w:tc>
          <w:tcPr>
            <w:tcW w:w="1585" w:type="dxa"/>
            <w:vMerge w:val="restart"/>
            <w:shd w:val="clear" w:color="auto" w:fill="auto"/>
            <w:vAlign w:val="center"/>
          </w:tcPr>
          <w:p w14:paraId="718C2619" w14:textId="77777777" w:rsidR="00554A2C" w:rsidRPr="00275707" w:rsidRDefault="00554A2C" w:rsidP="009206E5">
            <w:pPr>
              <w:spacing w:after="0"/>
              <w:jc w:val="center"/>
              <w:rPr>
                <w:rFonts w:ascii="Calibri" w:eastAsia="Times New Roman" w:hAnsi="Calibri" w:cs="Times New Roman"/>
                <w:b/>
                <w:szCs w:val="20"/>
                <w:lang w:val="en-US" w:eastAsia="fr-FR"/>
              </w:rPr>
            </w:pPr>
            <w:r>
              <w:rPr>
                <w:rFonts w:ascii="Calibri" w:eastAsia="Times New Roman" w:hAnsi="Calibri" w:cs="Times New Roman"/>
                <w:b/>
                <w:szCs w:val="20"/>
                <w:lang w:val="en-US" w:eastAsia="fr-FR"/>
              </w:rPr>
              <w:t>Methane</w:t>
            </w:r>
          </w:p>
        </w:tc>
        <w:tc>
          <w:tcPr>
            <w:tcW w:w="1548" w:type="dxa"/>
            <w:shd w:val="clear" w:color="auto" w:fill="auto"/>
            <w:vAlign w:val="center"/>
          </w:tcPr>
          <w:p w14:paraId="289E6F04" w14:textId="77777777" w:rsidR="00554A2C" w:rsidRPr="00D33A76" w:rsidRDefault="00554A2C" w:rsidP="009206E5">
            <w:pPr>
              <w:spacing w:after="0"/>
              <w:jc w:val="left"/>
              <w:rPr>
                <w:rFonts w:ascii="Calibri" w:eastAsia="Times New Roman" w:hAnsi="Calibri" w:cs="Times New Roman"/>
                <w:b/>
                <w:szCs w:val="20"/>
                <w:lang w:val="en-GB" w:eastAsia="fr-FR"/>
              </w:rPr>
            </w:pPr>
            <w:r w:rsidRPr="00D33A76">
              <w:rPr>
                <w:rFonts w:ascii="Calibri" w:eastAsia="Times New Roman" w:hAnsi="Calibri" w:cs="Times New Roman"/>
                <w:b/>
                <w:szCs w:val="20"/>
                <w:lang w:val="en-GB" w:eastAsia="fr-FR"/>
              </w:rPr>
              <w:t>MET.1</w:t>
            </w:r>
          </w:p>
        </w:tc>
        <w:tc>
          <w:tcPr>
            <w:tcW w:w="6478" w:type="dxa"/>
            <w:shd w:val="clear" w:color="auto" w:fill="auto"/>
            <w:vAlign w:val="center"/>
          </w:tcPr>
          <w:p w14:paraId="6115AF83" w14:textId="77777777" w:rsidR="00554A2C" w:rsidRPr="00D33A76" w:rsidRDefault="00554A2C" w:rsidP="009206E5">
            <w:pPr>
              <w:spacing w:after="0"/>
              <w:jc w:val="left"/>
              <w:rPr>
                <w:rFonts w:ascii="Calibri" w:eastAsia="Times New Roman" w:hAnsi="Calibri" w:cs="Times New Roman"/>
                <w:szCs w:val="20"/>
                <w:lang w:val="en-GB" w:eastAsia="fr-FR"/>
              </w:rPr>
            </w:pPr>
            <w:r w:rsidRPr="00D33A76">
              <w:rPr>
                <w:rFonts w:ascii="Calibri" w:eastAsia="Times New Roman" w:hAnsi="Calibri" w:cs="Times New Roman"/>
                <w:szCs w:val="20"/>
                <w:lang w:val="en-GB" w:eastAsia="fr-FR"/>
              </w:rPr>
              <w:t>Total operated CH</w:t>
            </w:r>
            <w:r w:rsidRPr="00D33A76">
              <w:rPr>
                <w:rFonts w:ascii="Calibri" w:eastAsia="Times New Roman" w:hAnsi="Calibri" w:cs="Times New Roman"/>
                <w:szCs w:val="20"/>
                <w:vertAlign w:val="subscript"/>
                <w:lang w:val="en-GB" w:eastAsia="fr-FR"/>
              </w:rPr>
              <w:t>4</w:t>
            </w:r>
            <w:r w:rsidRPr="00D33A76">
              <w:rPr>
                <w:rFonts w:ascii="Calibri" w:eastAsia="Times New Roman" w:hAnsi="Calibri" w:cs="Times New Roman"/>
                <w:szCs w:val="20"/>
                <w:lang w:val="en-GB" w:eastAsia="fr-FR"/>
              </w:rPr>
              <w:t xml:space="preserve"> emissions </w:t>
            </w:r>
          </w:p>
        </w:tc>
      </w:tr>
      <w:tr w:rsidR="00554A2C" w:rsidRPr="00B96572" w14:paraId="14AE28E2" w14:textId="77777777" w:rsidTr="007D79AA">
        <w:trPr>
          <w:trHeight w:val="283"/>
          <w:jc w:val="center"/>
        </w:trPr>
        <w:tc>
          <w:tcPr>
            <w:tcW w:w="1585" w:type="dxa"/>
            <w:vMerge/>
            <w:shd w:val="clear" w:color="auto" w:fill="auto"/>
            <w:vAlign w:val="center"/>
          </w:tcPr>
          <w:p w14:paraId="18A9DE00" w14:textId="77777777" w:rsidR="00554A2C" w:rsidRPr="00275707" w:rsidRDefault="00554A2C" w:rsidP="009206E5">
            <w:pPr>
              <w:spacing w:after="0"/>
              <w:jc w:val="center"/>
              <w:rPr>
                <w:rFonts w:ascii="Calibri" w:eastAsia="Times New Roman" w:hAnsi="Calibri" w:cs="Times New Roman"/>
                <w:b/>
                <w:szCs w:val="20"/>
                <w:lang w:val="en-US" w:eastAsia="fr-FR"/>
              </w:rPr>
            </w:pPr>
          </w:p>
        </w:tc>
        <w:tc>
          <w:tcPr>
            <w:tcW w:w="1548" w:type="dxa"/>
            <w:shd w:val="clear" w:color="auto" w:fill="auto"/>
            <w:vAlign w:val="center"/>
          </w:tcPr>
          <w:p w14:paraId="47B6756D" w14:textId="77777777" w:rsidR="00554A2C" w:rsidRPr="00D33A76" w:rsidRDefault="00554A2C" w:rsidP="009206E5">
            <w:pPr>
              <w:spacing w:after="0"/>
              <w:jc w:val="left"/>
              <w:rPr>
                <w:rFonts w:ascii="Calibri" w:eastAsia="Times New Roman" w:hAnsi="Calibri" w:cs="Times New Roman"/>
                <w:b/>
                <w:szCs w:val="20"/>
                <w:lang w:val="en-GB" w:eastAsia="fr-FR"/>
              </w:rPr>
            </w:pPr>
            <w:r w:rsidRPr="00D33A76">
              <w:rPr>
                <w:rFonts w:ascii="Calibri" w:eastAsia="Times New Roman" w:hAnsi="Calibri" w:cs="Times New Roman"/>
                <w:b/>
                <w:szCs w:val="20"/>
                <w:lang w:val="en-GB" w:eastAsia="fr-FR"/>
              </w:rPr>
              <w:t>MET.11</w:t>
            </w:r>
          </w:p>
        </w:tc>
        <w:tc>
          <w:tcPr>
            <w:tcW w:w="6478" w:type="dxa"/>
            <w:shd w:val="clear" w:color="auto" w:fill="auto"/>
            <w:vAlign w:val="center"/>
          </w:tcPr>
          <w:p w14:paraId="3DC39EC1" w14:textId="77777777" w:rsidR="00554A2C" w:rsidRPr="00D33A76" w:rsidRDefault="00554A2C" w:rsidP="009206E5">
            <w:pPr>
              <w:spacing w:after="0"/>
              <w:jc w:val="left"/>
              <w:rPr>
                <w:rFonts w:ascii="Calibri" w:eastAsia="Times New Roman" w:hAnsi="Calibri" w:cs="Times New Roman"/>
                <w:szCs w:val="20"/>
                <w:lang w:val="en-US" w:eastAsia="fr-FR"/>
              </w:rPr>
            </w:pPr>
            <w:r w:rsidRPr="00D33A76">
              <w:rPr>
                <w:rFonts w:ascii="Calibri" w:eastAsia="Times New Roman" w:hAnsi="Calibri" w:cs="Times New Roman"/>
                <w:szCs w:val="20"/>
                <w:lang w:val="en-GB" w:eastAsia="fr-FR"/>
              </w:rPr>
              <w:t>Operated CH</w:t>
            </w:r>
            <w:r w:rsidRPr="00D33A76">
              <w:rPr>
                <w:rFonts w:ascii="Calibri" w:eastAsia="Times New Roman" w:hAnsi="Calibri" w:cs="Times New Roman"/>
                <w:szCs w:val="20"/>
                <w:vertAlign w:val="subscript"/>
                <w:lang w:val="en-GB" w:eastAsia="fr-FR"/>
              </w:rPr>
              <w:t>4</w:t>
            </w:r>
            <w:r w:rsidRPr="00D33A76">
              <w:rPr>
                <w:rFonts w:ascii="Calibri" w:eastAsia="Times New Roman" w:hAnsi="Calibri" w:cs="Times New Roman"/>
                <w:szCs w:val="20"/>
                <w:lang w:val="en-GB" w:eastAsia="fr-FR"/>
              </w:rPr>
              <w:t xml:space="preserve"> emissions – Upstream</w:t>
            </w:r>
          </w:p>
        </w:tc>
      </w:tr>
      <w:tr w:rsidR="00554A2C" w:rsidRPr="00810A15" w14:paraId="5EF2DEC5" w14:textId="77777777" w:rsidTr="007D79AA">
        <w:trPr>
          <w:trHeight w:val="283"/>
          <w:jc w:val="center"/>
        </w:trPr>
        <w:tc>
          <w:tcPr>
            <w:tcW w:w="1585" w:type="dxa"/>
            <w:vMerge/>
            <w:shd w:val="clear" w:color="auto" w:fill="auto"/>
            <w:vAlign w:val="center"/>
          </w:tcPr>
          <w:p w14:paraId="7863269D" w14:textId="77777777" w:rsidR="00554A2C" w:rsidRPr="00275707" w:rsidRDefault="00554A2C" w:rsidP="009206E5">
            <w:pPr>
              <w:spacing w:after="0"/>
              <w:jc w:val="center"/>
              <w:rPr>
                <w:rFonts w:ascii="Calibri" w:eastAsia="Times New Roman" w:hAnsi="Calibri" w:cs="Times New Roman"/>
                <w:b/>
                <w:szCs w:val="20"/>
                <w:lang w:val="en-US" w:eastAsia="fr-FR"/>
              </w:rPr>
            </w:pPr>
          </w:p>
        </w:tc>
        <w:tc>
          <w:tcPr>
            <w:tcW w:w="1548" w:type="dxa"/>
            <w:shd w:val="clear" w:color="auto" w:fill="auto"/>
            <w:vAlign w:val="center"/>
          </w:tcPr>
          <w:p w14:paraId="0ECD3DF0" w14:textId="77777777" w:rsidR="00554A2C" w:rsidRPr="00D33A76" w:rsidRDefault="00554A2C" w:rsidP="009206E5">
            <w:pPr>
              <w:spacing w:after="0"/>
              <w:jc w:val="left"/>
              <w:rPr>
                <w:rFonts w:ascii="Calibri" w:eastAsia="Times New Roman" w:hAnsi="Calibri" w:cs="Times New Roman"/>
                <w:b/>
                <w:color w:val="000000"/>
                <w:szCs w:val="20"/>
                <w:lang w:eastAsia="it-IT"/>
              </w:rPr>
            </w:pPr>
            <w:r w:rsidRPr="00D33A76">
              <w:rPr>
                <w:rFonts w:ascii="Calibri" w:eastAsia="Times New Roman" w:hAnsi="Calibri" w:cs="Times New Roman"/>
                <w:b/>
                <w:color w:val="000000"/>
                <w:szCs w:val="20"/>
                <w:lang w:eastAsia="it-IT"/>
              </w:rPr>
              <w:t>MET</w:t>
            </w:r>
          </w:p>
        </w:tc>
        <w:tc>
          <w:tcPr>
            <w:tcW w:w="6478" w:type="dxa"/>
            <w:shd w:val="clear" w:color="auto" w:fill="auto"/>
            <w:vAlign w:val="center"/>
          </w:tcPr>
          <w:p w14:paraId="72CDDF0D" w14:textId="77777777" w:rsidR="00554A2C" w:rsidRPr="00D33A76" w:rsidRDefault="00554A2C" w:rsidP="009206E5">
            <w:pPr>
              <w:spacing w:after="0"/>
              <w:jc w:val="left"/>
              <w:rPr>
                <w:rFonts w:ascii="Calibri" w:eastAsia="Times New Roman" w:hAnsi="Calibri" w:cs="Times New Roman"/>
                <w:bCs/>
                <w:color w:val="000000"/>
                <w:szCs w:val="20"/>
                <w:lang w:eastAsia="it-IT"/>
              </w:rPr>
            </w:pPr>
            <w:r w:rsidRPr="00D33A76">
              <w:rPr>
                <w:rFonts w:ascii="Calibri" w:eastAsia="Times New Roman" w:hAnsi="Calibri" w:cs="Times New Roman"/>
                <w:bCs/>
                <w:color w:val="0070C0"/>
                <w:szCs w:val="20"/>
                <w:lang w:val="en-GB" w:eastAsia="it-IT"/>
              </w:rPr>
              <w:t>Upstream methane intensity</w:t>
            </w:r>
          </w:p>
        </w:tc>
      </w:tr>
      <w:tr w:rsidR="000A3B08" w14:paraId="1E866790" w14:textId="77777777" w:rsidTr="007D79AA">
        <w:trPr>
          <w:trHeight w:val="283"/>
          <w:jc w:val="center"/>
        </w:trPr>
        <w:tc>
          <w:tcPr>
            <w:tcW w:w="1585" w:type="dxa"/>
            <w:vMerge w:val="restart"/>
            <w:shd w:val="clear" w:color="auto" w:fill="F2F2F2" w:themeFill="background1" w:themeFillShade="F2"/>
            <w:vAlign w:val="center"/>
          </w:tcPr>
          <w:p w14:paraId="08C26FB2" w14:textId="77777777" w:rsidR="000A3B08" w:rsidRPr="008A2404" w:rsidRDefault="000A3B08" w:rsidP="000A3B08">
            <w:pPr>
              <w:spacing w:after="0"/>
              <w:jc w:val="center"/>
              <w:rPr>
                <w:rFonts w:ascii="Calibri" w:eastAsia="Times New Roman" w:hAnsi="Calibri" w:cs="Times New Roman"/>
                <w:b/>
                <w:szCs w:val="20"/>
                <w:lang w:val="en-GB" w:eastAsia="fr-FR"/>
              </w:rPr>
            </w:pPr>
            <w:r>
              <w:rPr>
                <w:rFonts w:ascii="Calibri" w:eastAsia="Times New Roman" w:hAnsi="Calibri" w:cs="Times New Roman"/>
                <w:b/>
                <w:szCs w:val="20"/>
                <w:lang w:val="en-GB" w:eastAsia="fr-FR"/>
              </w:rPr>
              <w:t>Flaring</w:t>
            </w:r>
          </w:p>
        </w:tc>
        <w:tc>
          <w:tcPr>
            <w:tcW w:w="1548" w:type="dxa"/>
            <w:shd w:val="clear" w:color="auto" w:fill="F2F2F2" w:themeFill="background1" w:themeFillShade="F2"/>
            <w:vAlign w:val="center"/>
          </w:tcPr>
          <w:p w14:paraId="2643B22B" w14:textId="77777777" w:rsidR="000A3B08" w:rsidRPr="00D33A76" w:rsidRDefault="000A3B08" w:rsidP="000A3B08">
            <w:pPr>
              <w:spacing w:after="0"/>
              <w:jc w:val="left"/>
              <w:rPr>
                <w:rFonts w:ascii="Calibri" w:eastAsia="Times New Roman" w:hAnsi="Calibri" w:cs="Times New Roman"/>
                <w:b/>
                <w:szCs w:val="20"/>
                <w:lang w:val="en-GB" w:eastAsia="fr-FR"/>
              </w:rPr>
            </w:pPr>
            <w:r w:rsidRPr="00D33A76">
              <w:rPr>
                <w:rFonts w:ascii="Calibri" w:eastAsia="Times New Roman" w:hAnsi="Calibri" w:cs="Times New Roman"/>
                <w:b/>
                <w:szCs w:val="20"/>
                <w:lang w:val="en-GB" w:eastAsia="fr-FR"/>
              </w:rPr>
              <w:t>FLA.1</w:t>
            </w:r>
          </w:p>
        </w:tc>
        <w:tc>
          <w:tcPr>
            <w:tcW w:w="6478" w:type="dxa"/>
            <w:shd w:val="clear" w:color="auto" w:fill="F2F2F2" w:themeFill="background1" w:themeFillShade="F2"/>
            <w:vAlign w:val="center"/>
          </w:tcPr>
          <w:p w14:paraId="0E16DF6F" w14:textId="51CC08C9" w:rsidR="000A3B08" w:rsidRPr="00D33A76" w:rsidRDefault="006D3654" w:rsidP="000A3B08">
            <w:pPr>
              <w:spacing w:after="0"/>
              <w:jc w:val="left"/>
              <w:rPr>
                <w:rFonts w:ascii="Calibri" w:eastAsia="Times New Roman" w:hAnsi="Calibri" w:cs="Times New Roman"/>
                <w:szCs w:val="20"/>
                <w:lang w:val="en-GB" w:eastAsia="fr-FR"/>
              </w:rPr>
            </w:pPr>
            <w:r w:rsidRPr="00D33A76">
              <w:rPr>
                <w:rFonts w:ascii="Calibri" w:eastAsia="Times New Roman" w:hAnsi="Calibri" w:cs="Times New Roman"/>
                <w:szCs w:val="20"/>
                <w:lang w:val="en-GB" w:eastAsia="fr-FR"/>
              </w:rPr>
              <w:t xml:space="preserve">Natural </w:t>
            </w:r>
            <w:r w:rsidR="000A3B08" w:rsidRPr="00D33A76">
              <w:rPr>
                <w:rFonts w:ascii="Calibri" w:eastAsia="Times New Roman" w:hAnsi="Calibri" w:cs="Times New Roman"/>
                <w:szCs w:val="20"/>
                <w:lang w:val="en-GB" w:eastAsia="fr-FR"/>
              </w:rPr>
              <w:t>gas flared – Upstream</w:t>
            </w:r>
          </w:p>
        </w:tc>
      </w:tr>
      <w:tr w:rsidR="000A3B08" w14:paraId="16124B27" w14:textId="77777777" w:rsidTr="007D79AA">
        <w:trPr>
          <w:trHeight w:val="283"/>
          <w:jc w:val="center"/>
        </w:trPr>
        <w:tc>
          <w:tcPr>
            <w:tcW w:w="1585" w:type="dxa"/>
            <w:vMerge/>
            <w:shd w:val="clear" w:color="auto" w:fill="F2F2F2" w:themeFill="background1" w:themeFillShade="F2"/>
            <w:vAlign w:val="center"/>
          </w:tcPr>
          <w:p w14:paraId="3D676DCB" w14:textId="77777777" w:rsidR="000A3B08" w:rsidRPr="00275707" w:rsidRDefault="000A3B08" w:rsidP="000A3B08">
            <w:pPr>
              <w:spacing w:after="0"/>
              <w:jc w:val="center"/>
              <w:rPr>
                <w:rFonts w:ascii="Calibri" w:eastAsia="Times New Roman" w:hAnsi="Calibri" w:cs="Times New Roman"/>
                <w:b/>
                <w:szCs w:val="20"/>
                <w:lang w:val="en-US" w:eastAsia="fr-FR"/>
              </w:rPr>
            </w:pPr>
          </w:p>
        </w:tc>
        <w:tc>
          <w:tcPr>
            <w:tcW w:w="1548" w:type="dxa"/>
            <w:shd w:val="clear" w:color="auto" w:fill="F2F2F2" w:themeFill="background1" w:themeFillShade="F2"/>
            <w:vAlign w:val="center"/>
          </w:tcPr>
          <w:p w14:paraId="43EBE0FC" w14:textId="24DFD541" w:rsidR="000A3B08" w:rsidRPr="00D33A76" w:rsidRDefault="000A3B08" w:rsidP="000A3B08">
            <w:pPr>
              <w:spacing w:after="0"/>
              <w:jc w:val="left"/>
              <w:rPr>
                <w:rFonts w:ascii="Calibri" w:eastAsia="Times New Roman" w:hAnsi="Calibri" w:cs="Times New Roman"/>
                <w:b/>
                <w:szCs w:val="20"/>
                <w:lang w:eastAsia="fr-FR"/>
              </w:rPr>
            </w:pPr>
            <w:r w:rsidRPr="00D33A76">
              <w:rPr>
                <w:rFonts w:ascii="Calibri" w:eastAsia="Times New Roman" w:hAnsi="Calibri" w:cs="Times New Roman"/>
                <w:b/>
                <w:szCs w:val="20"/>
                <w:lang w:val="en-GB" w:eastAsia="fr-FR"/>
              </w:rPr>
              <w:t>FLA.11</w:t>
            </w:r>
          </w:p>
        </w:tc>
        <w:tc>
          <w:tcPr>
            <w:tcW w:w="6478" w:type="dxa"/>
            <w:shd w:val="clear" w:color="auto" w:fill="F2F2F2" w:themeFill="background1" w:themeFillShade="F2"/>
            <w:vAlign w:val="center"/>
          </w:tcPr>
          <w:p w14:paraId="4B22EE06" w14:textId="1B79F1DF" w:rsidR="000A3B08" w:rsidRPr="00D33A76" w:rsidRDefault="006D3654" w:rsidP="000A3B08">
            <w:pPr>
              <w:spacing w:after="0"/>
              <w:jc w:val="left"/>
              <w:rPr>
                <w:rFonts w:ascii="Calibri" w:eastAsia="Times New Roman" w:hAnsi="Calibri" w:cs="Times New Roman"/>
                <w:szCs w:val="20"/>
                <w:lang w:val="en-US" w:eastAsia="fr-FR"/>
              </w:rPr>
            </w:pPr>
            <w:r w:rsidRPr="00D33A76">
              <w:rPr>
                <w:rFonts w:ascii="Calibri" w:eastAsia="Times New Roman" w:hAnsi="Calibri" w:cs="Times New Roman"/>
                <w:szCs w:val="20"/>
                <w:lang w:val="en-GB" w:eastAsia="fr-FR"/>
              </w:rPr>
              <w:t>R</w:t>
            </w:r>
            <w:r w:rsidR="000A3B08" w:rsidRPr="00D33A76">
              <w:rPr>
                <w:rFonts w:ascii="Calibri" w:eastAsia="Times New Roman" w:hAnsi="Calibri" w:cs="Times New Roman"/>
                <w:szCs w:val="20"/>
                <w:lang w:val="en-GB" w:eastAsia="fr-FR"/>
              </w:rPr>
              <w:t>outine gas flared – Upstream</w:t>
            </w:r>
          </w:p>
        </w:tc>
      </w:tr>
      <w:tr w:rsidR="000A3B08" w14:paraId="550A8958" w14:textId="77777777" w:rsidTr="007D79AA">
        <w:trPr>
          <w:trHeight w:val="283"/>
          <w:jc w:val="center"/>
        </w:trPr>
        <w:tc>
          <w:tcPr>
            <w:tcW w:w="1585" w:type="dxa"/>
            <w:vMerge/>
            <w:shd w:val="clear" w:color="auto" w:fill="F2F2F2" w:themeFill="background1" w:themeFillShade="F2"/>
            <w:vAlign w:val="center"/>
          </w:tcPr>
          <w:p w14:paraId="057112A3" w14:textId="77777777" w:rsidR="000A3B08" w:rsidRPr="00275707" w:rsidRDefault="000A3B08" w:rsidP="000A3B08">
            <w:pPr>
              <w:spacing w:after="0"/>
              <w:jc w:val="center"/>
              <w:rPr>
                <w:rFonts w:ascii="Calibri" w:eastAsia="Times New Roman" w:hAnsi="Calibri" w:cs="Times New Roman"/>
                <w:b/>
                <w:szCs w:val="20"/>
                <w:lang w:val="en-US" w:eastAsia="fr-FR"/>
              </w:rPr>
            </w:pPr>
          </w:p>
        </w:tc>
        <w:tc>
          <w:tcPr>
            <w:tcW w:w="1548" w:type="dxa"/>
            <w:shd w:val="clear" w:color="auto" w:fill="F2F2F2" w:themeFill="background1" w:themeFillShade="F2"/>
            <w:vAlign w:val="center"/>
          </w:tcPr>
          <w:p w14:paraId="5DE4A37F" w14:textId="77777777" w:rsidR="000A3B08" w:rsidRPr="00D33A76" w:rsidRDefault="000A3B08" w:rsidP="000A3B08">
            <w:pPr>
              <w:spacing w:after="0"/>
              <w:jc w:val="left"/>
              <w:rPr>
                <w:rFonts w:ascii="Calibri" w:eastAsia="Times New Roman" w:hAnsi="Calibri" w:cs="Times New Roman"/>
                <w:b/>
                <w:szCs w:val="20"/>
                <w:lang w:val="en-GB" w:eastAsia="fr-FR"/>
              </w:rPr>
            </w:pPr>
            <w:r w:rsidRPr="00D33A76">
              <w:rPr>
                <w:rFonts w:ascii="Calibri" w:eastAsia="Times New Roman" w:hAnsi="Calibri" w:cs="Times New Roman"/>
                <w:b/>
                <w:szCs w:val="20"/>
                <w:lang w:val="en-GB" w:eastAsia="fr-FR"/>
              </w:rPr>
              <w:t>FLA.2</w:t>
            </w:r>
          </w:p>
        </w:tc>
        <w:tc>
          <w:tcPr>
            <w:tcW w:w="6478" w:type="dxa"/>
            <w:shd w:val="clear" w:color="auto" w:fill="F2F2F2" w:themeFill="background1" w:themeFillShade="F2"/>
            <w:vAlign w:val="center"/>
          </w:tcPr>
          <w:p w14:paraId="27612664" w14:textId="77777777" w:rsidR="000A3B08" w:rsidRPr="00D33A76" w:rsidRDefault="000A3B08" w:rsidP="000A3B08">
            <w:pPr>
              <w:spacing w:after="0"/>
              <w:jc w:val="left"/>
              <w:rPr>
                <w:rFonts w:ascii="Calibri" w:eastAsia="Times New Roman" w:hAnsi="Calibri" w:cs="Times New Roman"/>
                <w:szCs w:val="20"/>
                <w:lang w:val="en-GB" w:eastAsia="fr-FR"/>
              </w:rPr>
            </w:pPr>
            <w:r w:rsidRPr="00D33A76">
              <w:rPr>
                <w:rFonts w:ascii="Calibri" w:eastAsia="Times New Roman" w:hAnsi="Calibri" w:cs="Times New Roman"/>
                <w:szCs w:val="20"/>
                <w:lang w:val="en-GB" w:eastAsia="fr-FR"/>
              </w:rPr>
              <w:t>Flaring GHG emissions – Upstream</w:t>
            </w:r>
          </w:p>
        </w:tc>
      </w:tr>
      <w:tr w:rsidR="000A3B08" w14:paraId="340474B4" w14:textId="77777777" w:rsidTr="007D79AA">
        <w:trPr>
          <w:trHeight w:val="283"/>
          <w:jc w:val="center"/>
        </w:trPr>
        <w:tc>
          <w:tcPr>
            <w:tcW w:w="1585" w:type="dxa"/>
            <w:vMerge/>
            <w:shd w:val="clear" w:color="auto" w:fill="F2F2F2" w:themeFill="background1" w:themeFillShade="F2"/>
            <w:vAlign w:val="center"/>
          </w:tcPr>
          <w:p w14:paraId="1043C598" w14:textId="77777777" w:rsidR="000A3B08" w:rsidRPr="00275707" w:rsidRDefault="000A3B08" w:rsidP="000A3B08">
            <w:pPr>
              <w:spacing w:after="0"/>
              <w:jc w:val="center"/>
              <w:rPr>
                <w:rFonts w:ascii="Calibri" w:eastAsia="Times New Roman" w:hAnsi="Calibri" w:cs="Times New Roman"/>
                <w:b/>
                <w:szCs w:val="20"/>
                <w:lang w:val="en-US" w:eastAsia="fr-FR"/>
              </w:rPr>
            </w:pPr>
          </w:p>
        </w:tc>
        <w:tc>
          <w:tcPr>
            <w:tcW w:w="1548" w:type="dxa"/>
            <w:shd w:val="clear" w:color="auto" w:fill="F2F2F2" w:themeFill="background1" w:themeFillShade="F2"/>
            <w:vAlign w:val="center"/>
          </w:tcPr>
          <w:p w14:paraId="13001CC8" w14:textId="77777777" w:rsidR="000A3B08" w:rsidRPr="00D33A76" w:rsidRDefault="000A3B08" w:rsidP="000A3B08">
            <w:pPr>
              <w:spacing w:after="0"/>
              <w:jc w:val="left"/>
              <w:rPr>
                <w:rFonts w:ascii="Calibri" w:eastAsia="Times New Roman" w:hAnsi="Calibri" w:cs="Times New Roman"/>
                <w:b/>
                <w:color w:val="0070C0"/>
                <w:szCs w:val="20"/>
                <w:lang w:eastAsia="fr-FR"/>
              </w:rPr>
            </w:pPr>
            <w:r w:rsidRPr="00D33A76">
              <w:rPr>
                <w:rFonts w:ascii="Calibri" w:eastAsia="Times New Roman" w:hAnsi="Calibri" w:cs="Times New Roman"/>
                <w:b/>
                <w:color w:val="0070C0"/>
                <w:szCs w:val="20"/>
                <w:lang w:eastAsia="fr-FR"/>
              </w:rPr>
              <w:t>FLA</w:t>
            </w:r>
          </w:p>
        </w:tc>
        <w:tc>
          <w:tcPr>
            <w:tcW w:w="6478" w:type="dxa"/>
            <w:shd w:val="clear" w:color="auto" w:fill="F2F2F2" w:themeFill="background1" w:themeFillShade="F2"/>
            <w:vAlign w:val="center"/>
          </w:tcPr>
          <w:p w14:paraId="065CDFDA" w14:textId="6152A1DE" w:rsidR="000A3B08" w:rsidRPr="00D33A76" w:rsidRDefault="008B1C1C" w:rsidP="000A3B08">
            <w:pPr>
              <w:spacing w:after="0"/>
              <w:jc w:val="left"/>
              <w:rPr>
                <w:rFonts w:ascii="Calibri" w:eastAsia="Times New Roman" w:hAnsi="Calibri" w:cs="Times New Roman"/>
                <w:szCs w:val="20"/>
                <w:lang w:eastAsia="fr-FR"/>
              </w:rPr>
            </w:pPr>
            <w:r>
              <w:rPr>
                <w:rFonts w:ascii="Calibri" w:eastAsia="Times New Roman" w:hAnsi="Calibri" w:cs="Times New Roman"/>
                <w:bCs/>
                <w:color w:val="0070C0"/>
                <w:szCs w:val="20"/>
                <w:lang w:val="en-GB" w:eastAsia="it-IT"/>
              </w:rPr>
              <w:t xml:space="preserve">Upstream Flaring Intensity </w:t>
            </w:r>
          </w:p>
        </w:tc>
      </w:tr>
      <w:tr w:rsidR="000A3B08" w14:paraId="34BA4873" w14:textId="77777777" w:rsidTr="00554A2C">
        <w:trPr>
          <w:trHeight w:val="283"/>
          <w:jc w:val="center"/>
        </w:trPr>
        <w:tc>
          <w:tcPr>
            <w:tcW w:w="1585" w:type="dxa"/>
            <w:vMerge w:val="restart"/>
            <w:shd w:val="clear" w:color="auto" w:fill="FFFFFF" w:themeFill="background1"/>
            <w:vAlign w:val="center"/>
          </w:tcPr>
          <w:p w14:paraId="7576D95D" w14:textId="77777777" w:rsidR="000A3B08" w:rsidRPr="00764027" w:rsidRDefault="000A3B08" w:rsidP="000A3B08">
            <w:pPr>
              <w:spacing w:after="0"/>
              <w:jc w:val="center"/>
              <w:rPr>
                <w:rFonts w:ascii="Calibri" w:eastAsia="Times New Roman" w:hAnsi="Calibri" w:cs="Times New Roman"/>
                <w:b/>
                <w:szCs w:val="20"/>
                <w:lang w:eastAsia="fr-FR"/>
              </w:rPr>
            </w:pPr>
            <w:r w:rsidRPr="00764027">
              <w:rPr>
                <w:rFonts w:ascii="Calibri" w:eastAsia="Times New Roman" w:hAnsi="Calibri" w:cs="Times New Roman"/>
                <w:b/>
                <w:szCs w:val="20"/>
                <w:lang w:eastAsia="fr-FR"/>
              </w:rPr>
              <w:t>Investments</w:t>
            </w:r>
          </w:p>
        </w:tc>
        <w:tc>
          <w:tcPr>
            <w:tcW w:w="1548" w:type="dxa"/>
            <w:shd w:val="clear" w:color="auto" w:fill="FFFFFF" w:themeFill="background1"/>
            <w:vAlign w:val="center"/>
          </w:tcPr>
          <w:p w14:paraId="6B7DCE80" w14:textId="47925176" w:rsidR="000A3B08" w:rsidRPr="00D33A76" w:rsidRDefault="0078774E" w:rsidP="000A3B08">
            <w:pPr>
              <w:spacing w:after="0"/>
              <w:jc w:val="left"/>
              <w:rPr>
                <w:rFonts w:ascii="Calibri" w:eastAsia="Times New Roman" w:hAnsi="Calibri" w:cs="Times New Roman"/>
                <w:b/>
                <w:szCs w:val="20"/>
                <w:lang w:val="en-GB" w:eastAsia="it-IT"/>
              </w:rPr>
            </w:pPr>
            <w:r w:rsidRPr="00D33A76">
              <w:rPr>
                <w:rFonts w:ascii="Calibri" w:eastAsia="Times New Roman" w:hAnsi="Calibri" w:cs="Times New Roman"/>
                <w:b/>
                <w:szCs w:val="20"/>
                <w:lang w:eastAsia="it-IT"/>
              </w:rPr>
              <w:t>INV</w:t>
            </w:r>
            <w:r w:rsidR="000A3B08" w:rsidRPr="00D33A76">
              <w:rPr>
                <w:rFonts w:ascii="Calibri" w:eastAsia="Times New Roman" w:hAnsi="Calibri" w:cs="Times New Roman"/>
                <w:b/>
                <w:szCs w:val="20"/>
                <w:lang w:eastAsia="it-IT"/>
              </w:rPr>
              <w:t>.</w:t>
            </w:r>
            <w:r w:rsidRPr="00D33A76">
              <w:rPr>
                <w:rFonts w:ascii="Calibri" w:eastAsia="Times New Roman" w:hAnsi="Calibri" w:cs="Times New Roman"/>
                <w:b/>
                <w:szCs w:val="20"/>
                <w:lang w:eastAsia="it-IT"/>
              </w:rPr>
              <w:t>2</w:t>
            </w:r>
          </w:p>
        </w:tc>
        <w:tc>
          <w:tcPr>
            <w:tcW w:w="6478" w:type="dxa"/>
            <w:shd w:val="clear" w:color="auto" w:fill="FFFFFF" w:themeFill="background1"/>
            <w:vAlign w:val="center"/>
          </w:tcPr>
          <w:p w14:paraId="5467FF4E" w14:textId="534C001F" w:rsidR="000A3B08" w:rsidRPr="00D33A76" w:rsidRDefault="00A609E3" w:rsidP="000A3B08">
            <w:pPr>
              <w:spacing w:after="0"/>
              <w:jc w:val="left"/>
              <w:rPr>
                <w:rFonts w:ascii="Calibri" w:eastAsia="Times New Roman" w:hAnsi="Calibri" w:cs="Times New Roman"/>
                <w:bCs/>
                <w:szCs w:val="20"/>
                <w:lang w:val="en-GB" w:eastAsia="it-IT"/>
              </w:rPr>
            </w:pPr>
            <w:r w:rsidRPr="00D33A76">
              <w:rPr>
                <w:rFonts w:ascii="Calibri" w:eastAsia="Times New Roman" w:hAnsi="Calibri" w:cs="Times New Roman"/>
                <w:bCs/>
                <w:szCs w:val="20"/>
                <w:lang w:val="en-US" w:eastAsia="it-IT"/>
              </w:rPr>
              <w:t>Total spent in low carbon projects</w:t>
            </w:r>
          </w:p>
        </w:tc>
      </w:tr>
      <w:tr w:rsidR="0078774E" w14:paraId="77825F39" w14:textId="77777777" w:rsidTr="00554A2C">
        <w:trPr>
          <w:trHeight w:val="283"/>
          <w:jc w:val="center"/>
        </w:trPr>
        <w:tc>
          <w:tcPr>
            <w:tcW w:w="1585" w:type="dxa"/>
            <w:vMerge/>
            <w:shd w:val="clear" w:color="auto" w:fill="FFFFFF" w:themeFill="background1"/>
            <w:vAlign w:val="center"/>
          </w:tcPr>
          <w:p w14:paraId="40F0C2DD" w14:textId="77777777" w:rsidR="0078774E" w:rsidRPr="00177D8C" w:rsidRDefault="0078774E" w:rsidP="0078774E">
            <w:pPr>
              <w:spacing w:after="0"/>
              <w:jc w:val="center"/>
              <w:rPr>
                <w:rFonts w:ascii="Calibri" w:eastAsia="Times New Roman" w:hAnsi="Calibri" w:cs="Times New Roman"/>
                <w:szCs w:val="20"/>
                <w:lang w:val="en-US" w:eastAsia="fr-FR"/>
              </w:rPr>
            </w:pPr>
          </w:p>
        </w:tc>
        <w:tc>
          <w:tcPr>
            <w:tcW w:w="1548" w:type="dxa"/>
            <w:shd w:val="clear" w:color="auto" w:fill="FFFFFF" w:themeFill="background1"/>
            <w:vAlign w:val="center"/>
          </w:tcPr>
          <w:p w14:paraId="6F70805C" w14:textId="25AD8074" w:rsidR="0078774E" w:rsidRPr="00D33A76" w:rsidRDefault="0078774E" w:rsidP="0078774E">
            <w:pPr>
              <w:spacing w:after="0"/>
              <w:jc w:val="left"/>
              <w:rPr>
                <w:rFonts w:ascii="Calibri" w:eastAsia="Times New Roman" w:hAnsi="Calibri" w:cs="Times New Roman"/>
                <w:b/>
                <w:szCs w:val="20"/>
                <w:lang w:val="en-GB" w:eastAsia="it-IT"/>
              </w:rPr>
            </w:pPr>
            <w:r w:rsidRPr="00D33A76">
              <w:rPr>
                <w:rFonts w:ascii="Calibri" w:eastAsia="Times New Roman" w:hAnsi="Calibri" w:cs="Times New Roman"/>
                <w:b/>
                <w:szCs w:val="20"/>
                <w:lang w:eastAsia="it-IT"/>
              </w:rPr>
              <w:t>INV.3</w:t>
            </w:r>
          </w:p>
        </w:tc>
        <w:tc>
          <w:tcPr>
            <w:tcW w:w="6478" w:type="dxa"/>
            <w:shd w:val="clear" w:color="auto" w:fill="FFFFFF" w:themeFill="background1"/>
            <w:vAlign w:val="center"/>
          </w:tcPr>
          <w:p w14:paraId="49F92EBA" w14:textId="7A770128" w:rsidR="0078774E" w:rsidRPr="00D33A76" w:rsidRDefault="0078774E" w:rsidP="0078774E">
            <w:pPr>
              <w:spacing w:after="0"/>
              <w:jc w:val="left"/>
              <w:rPr>
                <w:rFonts w:ascii="Calibri" w:eastAsia="Times New Roman" w:hAnsi="Calibri" w:cs="Times New Roman"/>
                <w:bCs/>
                <w:szCs w:val="20"/>
                <w:lang w:val="en-GB" w:eastAsia="it-IT"/>
              </w:rPr>
            </w:pPr>
            <w:r w:rsidRPr="00D33A76">
              <w:rPr>
                <w:rFonts w:ascii="Calibri" w:eastAsia="Times New Roman" w:hAnsi="Calibri" w:cs="Times New Roman"/>
                <w:bCs/>
                <w:szCs w:val="20"/>
                <w:lang w:val="en-US" w:eastAsia="it-IT"/>
              </w:rPr>
              <w:t>Acquisition</w:t>
            </w:r>
            <w:r w:rsidR="00B071FC" w:rsidRPr="00D33A76">
              <w:rPr>
                <w:rFonts w:ascii="Calibri" w:eastAsia="Times New Roman" w:hAnsi="Calibri" w:cs="Times New Roman"/>
                <w:bCs/>
                <w:szCs w:val="20"/>
                <w:lang w:val="en-US" w:eastAsia="it-IT"/>
              </w:rPr>
              <w:t>/Equity</w:t>
            </w:r>
            <w:r w:rsidRPr="00D33A76">
              <w:rPr>
                <w:rFonts w:ascii="Calibri" w:eastAsia="Times New Roman" w:hAnsi="Calibri" w:cs="Times New Roman"/>
                <w:bCs/>
                <w:szCs w:val="20"/>
                <w:lang w:val="en-US" w:eastAsia="it-IT"/>
              </w:rPr>
              <w:t xml:space="preserve"> of low carbon activities</w:t>
            </w:r>
          </w:p>
        </w:tc>
      </w:tr>
      <w:tr w:rsidR="002706CE" w14:paraId="31184563" w14:textId="77777777" w:rsidTr="00D33A76">
        <w:trPr>
          <w:trHeight w:val="40"/>
          <w:jc w:val="center"/>
        </w:trPr>
        <w:tc>
          <w:tcPr>
            <w:tcW w:w="1585" w:type="dxa"/>
            <w:vMerge/>
            <w:shd w:val="clear" w:color="auto" w:fill="FFFFFF" w:themeFill="background1"/>
          </w:tcPr>
          <w:p w14:paraId="08E2E61B" w14:textId="77777777" w:rsidR="002706CE" w:rsidRPr="00177D8C" w:rsidRDefault="002706CE" w:rsidP="002706CE">
            <w:pPr>
              <w:spacing w:after="0"/>
              <w:rPr>
                <w:rFonts w:ascii="Calibri" w:eastAsia="Times New Roman" w:hAnsi="Calibri" w:cs="Times New Roman"/>
                <w:szCs w:val="20"/>
                <w:lang w:val="en-US" w:eastAsia="fr-FR"/>
              </w:rPr>
            </w:pPr>
          </w:p>
        </w:tc>
        <w:tc>
          <w:tcPr>
            <w:tcW w:w="1548" w:type="dxa"/>
            <w:shd w:val="clear" w:color="auto" w:fill="FFFFFF" w:themeFill="background1"/>
            <w:vAlign w:val="center"/>
          </w:tcPr>
          <w:p w14:paraId="03A25A2D" w14:textId="0C2597CB" w:rsidR="002706CE" w:rsidRPr="00D33A76" w:rsidRDefault="002706CE" w:rsidP="002706CE">
            <w:pPr>
              <w:spacing w:after="0"/>
              <w:jc w:val="left"/>
              <w:rPr>
                <w:rFonts w:ascii="Calibri" w:eastAsia="Times New Roman" w:hAnsi="Calibri" w:cs="Times New Roman"/>
                <w:b/>
                <w:szCs w:val="20"/>
                <w:lang w:val="en-GB" w:eastAsia="it-IT"/>
              </w:rPr>
            </w:pPr>
            <w:r w:rsidRPr="00D33A76">
              <w:rPr>
                <w:rFonts w:ascii="Calibri" w:eastAsia="Times New Roman" w:hAnsi="Calibri" w:cs="Times New Roman"/>
                <w:b/>
                <w:szCs w:val="20"/>
                <w:lang w:eastAsia="it-IT"/>
              </w:rPr>
              <w:t>INV.</w:t>
            </w:r>
            <w:r w:rsidR="004B10E6" w:rsidRPr="00D33A76">
              <w:rPr>
                <w:rFonts w:ascii="Calibri" w:eastAsia="Times New Roman" w:hAnsi="Calibri" w:cs="Times New Roman"/>
                <w:b/>
                <w:szCs w:val="20"/>
                <w:lang w:eastAsia="it-IT"/>
              </w:rPr>
              <w:t>4</w:t>
            </w:r>
            <w:r w:rsidRPr="00D33A76">
              <w:rPr>
                <w:rFonts w:ascii="Calibri" w:eastAsia="Times New Roman" w:hAnsi="Calibri" w:cs="Times New Roman"/>
                <w:b/>
                <w:szCs w:val="20"/>
                <w:lang w:eastAsia="it-IT"/>
              </w:rPr>
              <w:t>1</w:t>
            </w:r>
          </w:p>
        </w:tc>
        <w:tc>
          <w:tcPr>
            <w:tcW w:w="6478" w:type="dxa"/>
            <w:shd w:val="clear" w:color="auto" w:fill="FFFFFF" w:themeFill="background1"/>
            <w:vAlign w:val="center"/>
          </w:tcPr>
          <w:p w14:paraId="066A24F3" w14:textId="77777777" w:rsidR="002706CE" w:rsidRPr="00D33A76" w:rsidRDefault="002706CE" w:rsidP="002706CE">
            <w:pPr>
              <w:spacing w:after="0"/>
              <w:rPr>
                <w:rFonts w:ascii="Calibri" w:eastAsia="Times New Roman" w:hAnsi="Calibri" w:cs="Times New Roman"/>
                <w:bCs/>
                <w:szCs w:val="20"/>
                <w:lang w:val="en-GB" w:eastAsia="it-IT"/>
              </w:rPr>
            </w:pPr>
            <w:r w:rsidRPr="00D33A76">
              <w:rPr>
                <w:rFonts w:ascii="Calibri" w:eastAsia="Times New Roman" w:hAnsi="Calibri" w:cs="Times New Roman"/>
                <w:bCs/>
                <w:szCs w:val="20"/>
                <w:lang w:val="en-US" w:eastAsia="it-IT"/>
              </w:rPr>
              <w:t>Total R&amp;D spent during the reporting year</w:t>
            </w:r>
          </w:p>
        </w:tc>
      </w:tr>
      <w:tr w:rsidR="002706CE" w14:paraId="6A55FF17" w14:textId="77777777" w:rsidTr="00554A2C">
        <w:trPr>
          <w:trHeight w:val="283"/>
          <w:jc w:val="center"/>
        </w:trPr>
        <w:tc>
          <w:tcPr>
            <w:tcW w:w="1585" w:type="dxa"/>
            <w:vMerge/>
            <w:shd w:val="clear" w:color="auto" w:fill="FFFFFF" w:themeFill="background1"/>
          </w:tcPr>
          <w:p w14:paraId="0B2AA8E8" w14:textId="77777777" w:rsidR="002706CE" w:rsidRPr="00177D8C" w:rsidRDefault="002706CE" w:rsidP="002706CE">
            <w:pPr>
              <w:spacing w:after="0"/>
              <w:rPr>
                <w:rFonts w:ascii="Calibri" w:eastAsia="Times New Roman" w:hAnsi="Calibri" w:cs="Times New Roman"/>
                <w:szCs w:val="20"/>
                <w:lang w:val="en-US" w:eastAsia="fr-FR"/>
              </w:rPr>
            </w:pPr>
          </w:p>
        </w:tc>
        <w:tc>
          <w:tcPr>
            <w:tcW w:w="1548" w:type="dxa"/>
            <w:shd w:val="clear" w:color="auto" w:fill="FFFFFF" w:themeFill="background1"/>
            <w:vAlign w:val="center"/>
          </w:tcPr>
          <w:p w14:paraId="7E9E79C2" w14:textId="193CFC53" w:rsidR="002706CE" w:rsidRPr="006D3654" w:rsidRDefault="002706CE" w:rsidP="002706CE">
            <w:pPr>
              <w:spacing w:after="0"/>
              <w:jc w:val="left"/>
              <w:rPr>
                <w:rFonts w:ascii="Calibri" w:eastAsia="Times New Roman" w:hAnsi="Calibri" w:cs="Times New Roman"/>
                <w:b/>
                <w:szCs w:val="20"/>
                <w:lang w:val="en-GB" w:eastAsia="it-IT"/>
              </w:rPr>
            </w:pPr>
            <w:r w:rsidRPr="006D3654">
              <w:rPr>
                <w:rFonts w:ascii="Calibri" w:eastAsia="Times New Roman" w:hAnsi="Calibri" w:cs="Times New Roman"/>
                <w:b/>
                <w:szCs w:val="20"/>
                <w:lang w:eastAsia="it-IT"/>
              </w:rPr>
              <w:t>INV.</w:t>
            </w:r>
            <w:r w:rsidR="004B10E6" w:rsidRPr="006D3654">
              <w:rPr>
                <w:rFonts w:ascii="Calibri" w:eastAsia="Times New Roman" w:hAnsi="Calibri" w:cs="Times New Roman"/>
                <w:b/>
                <w:szCs w:val="20"/>
                <w:lang w:eastAsia="it-IT"/>
              </w:rPr>
              <w:t>4</w:t>
            </w:r>
            <w:r w:rsidRPr="006D3654">
              <w:rPr>
                <w:rFonts w:ascii="Calibri" w:eastAsia="Times New Roman" w:hAnsi="Calibri" w:cs="Times New Roman"/>
                <w:b/>
                <w:szCs w:val="20"/>
                <w:lang w:eastAsia="it-IT"/>
              </w:rPr>
              <w:t>2</w:t>
            </w:r>
          </w:p>
        </w:tc>
        <w:tc>
          <w:tcPr>
            <w:tcW w:w="6478" w:type="dxa"/>
            <w:shd w:val="clear" w:color="auto" w:fill="FFFFFF" w:themeFill="background1"/>
            <w:vAlign w:val="center"/>
          </w:tcPr>
          <w:p w14:paraId="20B2117F" w14:textId="77777777" w:rsidR="002706CE" w:rsidRPr="006D3654" w:rsidRDefault="002706CE" w:rsidP="002706CE">
            <w:pPr>
              <w:spacing w:after="0"/>
              <w:rPr>
                <w:rFonts w:ascii="Calibri" w:eastAsia="Times New Roman" w:hAnsi="Calibri" w:cs="Times New Roman"/>
                <w:bCs/>
                <w:szCs w:val="20"/>
                <w:lang w:val="en-GB" w:eastAsia="it-IT"/>
              </w:rPr>
            </w:pPr>
            <w:r w:rsidRPr="006D3654">
              <w:rPr>
                <w:rFonts w:ascii="Calibri" w:eastAsia="Times New Roman" w:hAnsi="Calibri" w:cs="Times New Roman"/>
                <w:bCs/>
                <w:szCs w:val="20"/>
                <w:lang w:val="en-US" w:eastAsia="it-IT"/>
              </w:rPr>
              <w:t>R&amp;D spent on low carbon technologies during the reporting year</w:t>
            </w:r>
          </w:p>
        </w:tc>
      </w:tr>
      <w:tr w:rsidR="000A3B08" w14:paraId="0BEF32EA" w14:textId="77777777" w:rsidTr="00554A2C">
        <w:trPr>
          <w:trHeight w:val="283"/>
          <w:jc w:val="center"/>
        </w:trPr>
        <w:tc>
          <w:tcPr>
            <w:tcW w:w="1585" w:type="dxa"/>
            <w:vMerge/>
            <w:shd w:val="clear" w:color="auto" w:fill="FFFFFF" w:themeFill="background1"/>
          </w:tcPr>
          <w:p w14:paraId="4781931C" w14:textId="77777777" w:rsidR="000A3B08" w:rsidRPr="00177D8C" w:rsidRDefault="000A3B08" w:rsidP="000A3B08">
            <w:pPr>
              <w:spacing w:after="0"/>
              <w:rPr>
                <w:rFonts w:ascii="Calibri" w:eastAsia="Times New Roman" w:hAnsi="Calibri" w:cs="Times New Roman"/>
                <w:szCs w:val="20"/>
                <w:lang w:val="en-US" w:eastAsia="fr-FR"/>
              </w:rPr>
            </w:pPr>
          </w:p>
        </w:tc>
        <w:tc>
          <w:tcPr>
            <w:tcW w:w="1548" w:type="dxa"/>
            <w:shd w:val="clear" w:color="auto" w:fill="FFFFFF" w:themeFill="background1"/>
            <w:vAlign w:val="center"/>
          </w:tcPr>
          <w:p w14:paraId="50F5866B" w14:textId="53A8AAC2" w:rsidR="000A3B08" w:rsidRPr="00764027" w:rsidRDefault="002706CE" w:rsidP="000A3B08">
            <w:pPr>
              <w:spacing w:after="0"/>
              <w:jc w:val="left"/>
              <w:rPr>
                <w:rFonts w:ascii="Calibri" w:eastAsia="Times New Roman" w:hAnsi="Calibri" w:cs="Times New Roman"/>
                <w:b/>
                <w:color w:val="0070C0"/>
                <w:szCs w:val="20"/>
                <w:lang w:val="en-GB" w:eastAsia="it-IT"/>
              </w:rPr>
            </w:pPr>
            <w:r w:rsidRPr="00866681">
              <w:rPr>
                <w:rFonts w:ascii="Calibri" w:eastAsia="Times New Roman" w:hAnsi="Calibri" w:cs="Times New Roman"/>
                <w:b/>
                <w:color w:val="0070C0"/>
                <w:szCs w:val="20"/>
                <w:lang w:eastAsia="it-IT"/>
              </w:rPr>
              <w:t>INV.</w:t>
            </w:r>
            <w:r w:rsidR="004B10E6">
              <w:rPr>
                <w:rFonts w:ascii="Calibri" w:eastAsia="Times New Roman" w:hAnsi="Calibri" w:cs="Times New Roman"/>
                <w:b/>
                <w:color w:val="0070C0"/>
                <w:szCs w:val="20"/>
                <w:lang w:eastAsia="it-IT"/>
              </w:rPr>
              <w:t>4</w:t>
            </w:r>
          </w:p>
        </w:tc>
        <w:tc>
          <w:tcPr>
            <w:tcW w:w="6478" w:type="dxa"/>
            <w:shd w:val="clear" w:color="auto" w:fill="FFFFFF" w:themeFill="background1"/>
            <w:vAlign w:val="center"/>
          </w:tcPr>
          <w:p w14:paraId="76328A43" w14:textId="08ABAD92" w:rsidR="000A3B08" w:rsidRPr="00764027" w:rsidRDefault="000A3B08" w:rsidP="000A3B08">
            <w:pPr>
              <w:spacing w:after="0"/>
              <w:rPr>
                <w:rFonts w:ascii="Calibri" w:eastAsia="Times New Roman" w:hAnsi="Calibri" w:cs="Times New Roman"/>
                <w:bCs/>
                <w:color w:val="0070C0"/>
                <w:szCs w:val="20"/>
                <w:lang w:val="en-GB" w:eastAsia="it-IT"/>
              </w:rPr>
            </w:pPr>
            <w:r w:rsidRPr="00B96572">
              <w:rPr>
                <w:rFonts w:ascii="Calibri" w:eastAsia="Times New Roman" w:hAnsi="Calibri" w:cs="Times New Roman"/>
                <w:bCs/>
                <w:color w:val="0070C0"/>
                <w:szCs w:val="20"/>
                <w:lang w:val="en-US" w:eastAsia="it-IT"/>
              </w:rPr>
              <w:t>Share of R&amp;D budget spent on low carbon technolog</w:t>
            </w:r>
            <w:r w:rsidR="002706CE" w:rsidRPr="00B96572">
              <w:rPr>
                <w:rFonts w:ascii="Calibri" w:eastAsia="Times New Roman" w:hAnsi="Calibri" w:cs="Times New Roman"/>
                <w:bCs/>
                <w:color w:val="0070C0"/>
                <w:szCs w:val="20"/>
                <w:lang w:val="en-US" w:eastAsia="it-IT"/>
              </w:rPr>
              <w:t>ies</w:t>
            </w:r>
          </w:p>
        </w:tc>
      </w:tr>
    </w:tbl>
    <w:p w14:paraId="34CFF233" w14:textId="3554EB5A" w:rsidR="00177D5C" w:rsidRDefault="0076508F" w:rsidP="0029589C">
      <w:pPr>
        <w:pStyle w:val="Caption"/>
      </w:pPr>
      <w:r>
        <w:t xml:space="preserve">Table </w:t>
      </w:r>
      <w:r>
        <w:fldChar w:fldCharType="begin"/>
      </w:r>
      <w:r>
        <w:instrText xml:space="preserve"> SEQ Table \* ARABIC </w:instrText>
      </w:r>
      <w:r>
        <w:fldChar w:fldCharType="separate"/>
      </w:r>
      <w:r w:rsidR="00120F27">
        <w:rPr>
          <w:noProof/>
        </w:rPr>
        <w:t>1</w:t>
      </w:r>
      <w:r>
        <w:fldChar w:fldCharType="end"/>
      </w:r>
      <w:r>
        <w:t xml:space="preserve">: List of </w:t>
      </w:r>
      <w:r w:rsidR="002269A9">
        <w:t xml:space="preserve">published </w:t>
      </w:r>
      <w:r>
        <w:t>OGCI indicators</w:t>
      </w:r>
    </w:p>
    <w:p w14:paraId="1DFEFB3E" w14:textId="77777777" w:rsidR="00866681" w:rsidRDefault="00866681">
      <w:pPr>
        <w:spacing w:after="0" w:line="276" w:lineRule="auto"/>
        <w:jc w:val="left"/>
        <w:rPr>
          <w:rFonts w:cstheme="minorHAnsi"/>
          <w:b/>
          <w:color w:val="365F91" w:themeColor="accent1" w:themeShade="BF"/>
          <w:sz w:val="32"/>
          <w:szCs w:val="20"/>
          <w:lang w:val="en-US"/>
        </w:rPr>
      </w:pPr>
      <w:r>
        <w:rPr>
          <w:lang w:val="en-US"/>
        </w:rPr>
        <w:br w:type="page"/>
      </w:r>
    </w:p>
    <w:p w14:paraId="329B8900" w14:textId="35627A6A" w:rsidR="005C77BD" w:rsidRPr="005C77BD" w:rsidRDefault="002F3810" w:rsidP="00866681">
      <w:pPr>
        <w:pStyle w:val="Heading1"/>
        <w:rPr>
          <w:lang w:val="en-US"/>
        </w:rPr>
      </w:pPr>
      <w:bookmarkStart w:id="11" w:name="_Toc97226719"/>
      <w:r>
        <w:rPr>
          <w:lang w:val="en-US"/>
        </w:rPr>
        <w:lastRenderedPageBreak/>
        <w:t>D</w:t>
      </w:r>
      <w:r w:rsidR="00104505">
        <w:rPr>
          <w:lang w:val="en-US"/>
        </w:rPr>
        <w:t>etailed d</w:t>
      </w:r>
      <w:r>
        <w:rPr>
          <w:lang w:val="en-US"/>
        </w:rPr>
        <w:t xml:space="preserve">escription of OGCI </w:t>
      </w:r>
      <w:r w:rsidR="00165395">
        <w:rPr>
          <w:lang w:val="en-US"/>
        </w:rPr>
        <w:t>indicators</w:t>
      </w:r>
      <w:bookmarkEnd w:id="11"/>
    </w:p>
    <w:p w14:paraId="1E5A8734" w14:textId="613A2A7F" w:rsidR="009441A1" w:rsidRPr="00B07C95" w:rsidRDefault="00ED1880" w:rsidP="00F112B5">
      <w:pPr>
        <w:pStyle w:val="Heading2"/>
      </w:pPr>
      <w:r>
        <w:t>A</w:t>
      </w:r>
      <w:r w:rsidR="009441A1" w:rsidRPr="00B07C95">
        <w:t xml:space="preserve">ctivity </w:t>
      </w:r>
      <w:r w:rsidR="003D6D2C">
        <w:t>data</w:t>
      </w:r>
    </w:p>
    <w:tbl>
      <w:tblPr>
        <w:tblW w:w="10206" w:type="dxa"/>
        <w:tblInd w:w="-5" w:type="dxa"/>
        <w:tblCellMar>
          <w:left w:w="70" w:type="dxa"/>
          <w:right w:w="70" w:type="dxa"/>
        </w:tblCellMar>
        <w:tblLook w:val="04A0" w:firstRow="1" w:lastRow="0" w:firstColumn="1" w:lastColumn="0" w:noHBand="0" w:noVBand="1"/>
      </w:tblPr>
      <w:tblGrid>
        <w:gridCol w:w="1843"/>
        <w:gridCol w:w="8363"/>
      </w:tblGrid>
      <w:tr w:rsidR="009441A1" w:rsidRPr="00342DFA" w14:paraId="7F4861C0" w14:textId="77777777" w:rsidTr="00F005BE">
        <w:trPr>
          <w:trHeight w:val="340"/>
        </w:trPr>
        <w:tc>
          <w:tcPr>
            <w:tcW w:w="1843" w:type="dxa"/>
            <w:tcBorders>
              <w:top w:val="single" w:sz="4" w:space="0" w:color="auto"/>
              <w:left w:val="single" w:sz="4" w:space="0" w:color="auto"/>
              <w:bottom w:val="double" w:sz="6" w:space="0" w:color="auto"/>
              <w:right w:val="single" w:sz="4" w:space="0" w:color="auto"/>
            </w:tcBorders>
            <w:shd w:val="clear" w:color="auto" w:fill="4F81BD" w:themeFill="accent1"/>
            <w:noWrap/>
            <w:vAlign w:val="center"/>
            <w:hideMark/>
          </w:tcPr>
          <w:p w14:paraId="614A3DF2" w14:textId="52703FC3" w:rsidR="009441A1" w:rsidRPr="00336556" w:rsidRDefault="00FF2287" w:rsidP="00ED1880">
            <w:pPr>
              <w:pStyle w:val="NoSpace"/>
              <w:jc w:val="center"/>
              <w:rPr>
                <w:b/>
                <w:bCs/>
                <w:color w:val="FFFFFF" w:themeColor="background1"/>
              </w:rPr>
            </w:pPr>
            <w:r>
              <w:rPr>
                <w:b/>
                <w:bCs/>
                <w:color w:val="FFFFFF" w:themeColor="background1"/>
              </w:rPr>
              <w:t>PROD.11</w:t>
            </w:r>
          </w:p>
        </w:tc>
        <w:tc>
          <w:tcPr>
            <w:tcW w:w="8363" w:type="dxa"/>
            <w:tcBorders>
              <w:top w:val="single" w:sz="4" w:space="0" w:color="auto"/>
              <w:left w:val="nil"/>
              <w:bottom w:val="double" w:sz="6" w:space="0" w:color="auto"/>
              <w:right w:val="single" w:sz="4" w:space="0" w:color="auto"/>
            </w:tcBorders>
            <w:shd w:val="clear" w:color="auto" w:fill="4F81BD" w:themeFill="accent1"/>
            <w:vAlign w:val="center"/>
            <w:hideMark/>
          </w:tcPr>
          <w:p w14:paraId="78375F1A" w14:textId="256E0B65" w:rsidR="009441A1" w:rsidRPr="00336556" w:rsidRDefault="00A8503B" w:rsidP="00ED1880">
            <w:pPr>
              <w:pStyle w:val="NoSpace"/>
              <w:rPr>
                <w:b/>
                <w:bCs/>
                <w:color w:val="FFFFFF" w:themeColor="background1"/>
              </w:rPr>
            </w:pPr>
            <w:r>
              <w:rPr>
                <w:b/>
                <w:bCs/>
                <w:color w:val="FFFFFF" w:themeColor="background1"/>
              </w:rPr>
              <w:t>O</w:t>
            </w:r>
            <w:r w:rsidR="003D1259" w:rsidRPr="00336556">
              <w:rPr>
                <w:b/>
                <w:bCs/>
                <w:color w:val="FFFFFF" w:themeColor="background1"/>
              </w:rPr>
              <w:t xml:space="preserve">perated </w:t>
            </w:r>
            <w:r>
              <w:rPr>
                <w:b/>
                <w:bCs/>
                <w:color w:val="FFFFFF" w:themeColor="background1"/>
              </w:rPr>
              <w:t xml:space="preserve">oil and gas </w:t>
            </w:r>
            <w:r w:rsidR="00A51DDF" w:rsidRPr="00336556">
              <w:rPr>
                <w:b/>
                <w:bCs/>
                <w:color w:val="FFFFFF" w:themeColor="background1"/>
              </w:rPr>
              <w:t>p</w:t>
            </w:r>
            <w:r w:rsidR="009441A1" w:rsidRPr="00336556">
              <w:rPr>
                <w:b/>
                <w:bCs/>
                <w:color w:val="FFFFFF" w:themeColor="background1"/>
              </w:rPr>
              <w:t>roduction</w:t>
            </w:r>
          </w:p>
        </w:tc>
      </w:tr>
      <w:tr w:rsidR="009441A1" w:rsidRPr="00342DFA" w14:paraId="3411DC85" w14:textId="77777777" w:rsidTr="00F112B5">
        <w:trPr>
          <w:trHeight w:val="567"/>
        </w:trPr>
        <w:tc>
          <w:tcPr>
            <w:tcW w:w="1843" w:type="dxa"/>
            <w:tcBorders>
              <w:top w:val="nil"/>
              <w:left w:val="single" w:sz="4" w:space="0" w:color="auto"/>
              <w:bottom w:val="single" w:sz="4" w:space="0" w:color="auto"/>
              <w:right w:val="single" w:sz="4" w:space="0" w:color="auto"/>
            </w:tcBorders>
            <w:shd w:val="clear" w:color="auto" w:fill="auto"/>
            <w:hideMark/>
          </w:tcPr>
          <w:p w14:paraId="16DB05F4" w14:textId="5F07B3F1" w:rsidR="009441A1" w:rsidRPr="00ED1880" w:rsidRDefault="009441A1" w:rsidP="00F112B5">
            <w:pPr>
              <w:spacing w:after="0"/>
              <w:jc w:val="center"/>
              <w:rPr>
                <w:b/>
                <w:bCs/>
              </w:rPr>
            </w:pPr>
            <w:r w:rsidRPr="00ED1880">
              <w:rPr>
                <w:b/>
                <w:bCs/>
              </w:rPr>
              <w:t xml:space="preserve">Definition and </w:t>
            </w:r>
            <w:r w:rsidR="005403E4">
              <w:rPr>
                <w:b/>
                <w:bCs/>
              </w:rPr>
              <w:t>b</w:t>
            </w:r>
            <w:r w:rsidRPr="00ED1880">
              <w:rPr>
                <w:b/>
                <w:bCs/>
              </w:rPr>
              <w:t>oundary</w:t>
            </w:r>
          </w:p>
        </w:tc>
        <w:tc>
          <w:tcPr>
            <w:tcW w:w="8363" w:type="dxa"/>
            <w:tcBorders>
              <w:top w:val="nil"/>
              <w:left w:val="nil"/>
              <w:bottom w:val="single" w:sz="4" w:space="0" w:color="auto"/>
              <w:right w:val="single" w:sz="4" w:space="0" w:color="auto"/>
            </w:tcBorders>
            <w:shd w:val="clear" w:color="auto" w:fill="auto"/>
            <w:hideMark/>
          </w:tcPr>
          <w:p w14:paraId="2C076DF3" w14:textId="2E328479" w:rsidR="009D5D4E" w:rsidRPr="00165395" w:rsidRDefault="009D5D4E" w:rsidP="00F112B5">
            <w:pPr>
              <w:pStyle w:val="NoSpace"/>
              <w:jc w:val="left"/>
            </w:pPr>
            <w:r>
              <w:t>Each company provides its own operated</w:t>
            </w:r>
            <w:r w:rsidR="009441A1" w:rsidRPr="00165395">
              <w:t xml:space="preserve"> hydrocarbon production </w:t>
            </w:r>
            <w:r w:rsidRPr="00336556">
              <w:rPr>
                <w:u w:val="single"/>
              </w:rPr>
              <w:t xml:space="preserve">at </w:t>
            </w:r>
            <w:r w:rsidR="000602AA">
              <w:rPr>
                <w:u w:val="single"/>
              </w:rPr>
              <w:t xml:space="preserve">first </w:t>
            </w:r>
            <w:r w:rsidRPr="00336556">
              <w:rPr>
                <w:u w:val="single"/>
              </w:rPr>
              <w:t>point of sale</w:t>
            </w:r>
            <w:r>
              <w:t xml:space="preserve"> </w:t>
            </w:r>
            <w:r w:rsidR="009441A1" w:rsidRPr="00165395">
              <w:t>along the reporting</w:t>
            </w:r>
            <w:r w:rsidR="0042502E" w:rsidRPr="00165395">
              <w:t xml:space="preserve"> year</w:t>
            </w:r>
            <w:r>
              <w:t xml:space="preserve">. The production </w:t>
            </w:r>
            <w:r w:rsidR="00417DAD">
              <w:t>should</w:t>
            </w:r>
            <w:r>
              <w:t xml:space="preserve"> include both</w:t>
            </w:r>
            <w:r w:rsidR="00A24E5A" w:rsidRPr="00165395">
              <w:t xml:space="preserve"> liquid and gas products</w:t>
            </w:r>
            <w:r w:rsidR="00EA6884" w:rsidRPr="00165395">
              <w:t>.</w:t>
            </w:r>
          </w:p>
        </w:tc>
      </w:tr>
      <w:tr w:rsidR="009441A1" w:rsidRPr="00342DFA" w14:paraId="5C9D7B90" w14:textId="77777777" w:rsidTr="00F005BE">
        <w:trPr>
          <w:trHeight w:val="340"/>
        </w:trPr>
        <w:tc>
          <w:tcPr>
            <w:tcW w:w="1843" w:type="dxa"/>
            <w:tcBorders>
              <w:top w:val="nil"/>
              <w:left w:val="single" w:sz="4" w:space="0" w:color="auto"/>
              <w:bottom w:val="single" w:sz="4" w:space="0" w:color="auto"/>
              <w:right w:val="single" w:sz="4" w:space="0" w:color="auto"/>
            </w:tcBorders>
            <w:shd w:val="clear" w:color="auto" w:fill="auto"/>
            <w:noWrap/>
            <w:hideMark/>
          </w:tcPr>
          <w:p w14:paraId="2C459A9B" w14:textId="411A476E" w:rsidR="009441A1" w:rsidRPr="00ED1880" w:rsidRDefault="009441A1" w:rsidP="00336556">
            <w:pPr>
              <w:spacing w:after="0"/>
              <w:jc w:val="center"/>
              <w:rPr>
                <w:b/>
                <w:bCs/>
              </w:rPr>
            </w:pPr>
            <w:r w:rsidRPr="00ED1880">
              <w:rPr>
                <w:b/>
                <w:bCs/>
              </w:rPr>
              <w:t>Methodology</w:t>
            </w:r>
          </w:p>
        </w:tc>
        <w:tc>
          <w:tcPr>
            <w:tcW w:w="8363" w:type="dxa"/>
            <w:tcBorders>
              <w:top w:val="nil"/>
              <w:left w:val="nil"/>
              <w:bottom w:val="single" w:sz="4" w:space="0" w:color="auto"/>
              <w:right w:val="single" w:sz="4" w:space="0" w:color="auto"/>
            </w:tcBorders>
            <w:shd w:val="clear" w:color="auto" w:fill="auto"/>
            <w:hideMark/>
          </w:tcPr>
          <w:p w14:paraId="0549004F" w14:textId="029F26CE" w:rsidR="009441A1" w:rsidRPr="00165395" w:rsidRDefault="00FF2287" w:rsidP="00336556">
            <w:pPr>
              <w:pStyle w:val="NoSpace"/>
              <w:jc w:val="left"/>
            </w:pPr>
            <w:r>
              <w:rPr>
                <w:b/>
                <w:bCs/>
              </w:rPr>
              <w:t>PROD.11</w:t>
            </w:r>
            <w:r w:rsidR="00EA6884" w:rsidRPr="00165395">
              <w:t xml:space="preserve"> </w:t>
            </w:r>
            <w:r w:rsidR="009441A1" w:rsidRPr="00165395">
              <w:t xml:space="preserve">= </w:t>
            </w:r>
            <w:r w:rsidR="009D5D4E" w:rsidRPr="00810A15">
              <w:t>Production distributed to the market (sold or for free)</w:t>
            </w:r>
          </w:p>
        </w:tc>
      </w:tr>
      <w:tr w:rsidR="009441A1" w:rsidRPr="00342DFA" w14:paraId="3529FEF1" w14:textId="77777777" w:rsidTr="00336556">
        <w:trPr>
          <w:trHeight w:val="567"/>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09A2B3E" w14:textId="38DEC954" w:rsidR="009441A1" w:rsidRPr="00ED1880" w:rsidRDefault="009441A1" w:rsidP="00336556">
            <w:pPr>
              <w:spacing w:after="0"/>
              <w:jc w:val="center"/>
              <w:rPr>
                <w:b/>
                <w:bCs/>
              </w:rPr>
            </w:pPr>
            <w:r w:rsidRPr="00ED1880">
              <w:rPr>
                <w:b/>
                <w:bCs/>
              </w:rPr>
              <w:t xml:space="preserve">Unit </w:t>
            </w:r>
          </w:p>
        </w:tc>
        <w:tc>
          <w:tcPr>
            <w:tcW w:w="8363" w:type="dxa"/>
            <w:tcBorders>
              <w:top w:val="single" w:sz="4" w:space="0" w:color="auto"/>
              <w:left w:val="nil"/>
              <w:bottom w:val="single" w:sz="4" w:space="0" w:color="auto"/>
              <w:right w:val="single" w:sz="4" w:space="0" w:color="auto"/>
            </w:tcBorders>
            <w:shd w:val="clear" w:color="auto" w:fill="auto"/>
            <w:hideMark/>
          </w:tcPr>
          <w:p w14:paraId="275AF63F" w14:textId="5D2215EF" w:rsidR="009441A1" w:rsidRDefault="0060173C" w:rsidP="00336556">
            <w:pPr>
              <w:pStyle w:val="NoSpace"/>
              <w:jc w:val="left"/>
            </w:pPr>
            <w:r>
              <w:t>Companies can r</w:t>
            </w:r>
            <w:r w:rsidR="009441A1" w:rsidRPr="00165395">
              <w:t xml:space="preserve">eport in </w:t>
            </w:r>
            <w:r>
              <w:t>their</w:t>
            </w:r>
            <w:r w:rsidR="002C5D7E" w:rsidRPr="00165395">
              <w:t xml:space="preserve"> internal reporting unit</w:t>
            </w:r>
            <w:r>
              <w:t>s</w:t>
            </w:r>
            <w:r w:rsidR="002C5D7E" w:rsidRPr="00165395">
              <w:t xml:space="preserve"> </w:t>
            </w:r>
            <w:r w:rsidR="003452D0">
              <w:t xml:space="preserve">(toe, boe, </w:t>
            </w:r>
            <w:r w:rsidR="00570A7F">
              <w:t xml:space="preserve">boe/d, </w:t>
            </w:r>
            <w:r w:rsidR="003452D0">
              <w:t xml:space="preserve">etc) </w:t>
            </w:r>
            <w:r w:rsidR="002C5D7E" w:rsidRPr="00165395">
              <w:t>and specify the unit in the dedicated field.</w:t>
            </w:r>
          </w:p>
          <w:p w14:paraId="55799A87" w14:textId="0DF1879B" w:rsidR="003452D0" w:rsidRPr="00165395" w:rsidRDefault="003452D0" w:rsidP="003452D0">
            <w:pPr>
              <w:pStyle w:val="NoSpace"/>
              <w:jc w:val="left"/>
            </w:pPr>
            <w:r>
              <w:t xml:space="preserve">The aggregated OGCI indicator is reported in </w:t>
            </w:r>
            <w:r w:rsidR="00C80D58">
              <w:t>[</w:t>
            </w:r>
            <w:r>
              <w:t>boe/day</w:t>
            </w:r>
            <w:r w:rsidR="00C80D58">
              <w:t>]</w:t>
            </w:r>
            <w:r>
              <w:t xml:space="preserve"> (See </w:t>
            </w:r>
            <w:r>
              <w:fldChar w:fldCharType="begin"/>
            </w:r>
            <w:r>
              <w:instrText xml:space="preserve"> REF _Ref19181280 \h </w:instrText>
            </w:r>
            <w:r>
              <w:fldChar w:fldCharType="separate"/>
            </w:r>
            <w:r w:rsidR="00120F27">
              <w:rPr>
                <w:lang w:eastAsia="fr-FR"/>
              </w:rPr>
              <w:t>Appendix B – Calculation and conversion factors</w:t>
            </w:r>
            <w:r>
              <w:fldChar w:fldCharType="end"/>
            </w:r>
            <w:r>
              <w:t xml:space="preserve"> ).</w:t>
            </w:r>
          </w:p>
        </w:tc>
      </w:tr>
      <w:tr w:rsidR="00710369" w:rsidRPr="00342DFA" w14:paraId="7CCE6864" w14:textId="77777777" w:rsidTr="00F005BE">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FB197DC" w14:textId="5B2AC364" w:rsidR="00710369" w:rsidRPr="00ED1880" w:rsidRDefault="00710369" w:rsidP="00710369">
            <w:pPr>
              <w:spacing w:after="0"/>
              <w:jc w:val="center"/>
              <w:rPr>
                <w:b/>
                <w:bCs/>
              </w:rPr>
            </w:pPr>
            <w:r w:rsidRPr="003A4D4C">
              <w:rPr>
                <w:rFonts w:ascii="Calibri" w:eastAsia="Times New Roman" w:hAnsi="Calibri" w:cs="Times New Roman"/>
                <w:b/>
                <w:bCs/>
                <w:color w:val="000000"/>
                <w:szCs w:val="20"/>
                <w:lang w:eastAsia="it-IT"/>
              </w:rPr>
              <w:t>External references</w:t>
            </w:r>
          </w:p>
        </w:tc>
        <w:tc>
          <w:tcPr>
            <w:tcW w:w="8363" w:type="dxa"/>
            <w:tcBorders>
              <w:top w:val="single" w:sz="4" w:space="0" w:color="auto"/>
              <w:left w:val="nil"/>
              <w:bottom w:val="single" w:sz="4" w:space="0" w:color="auto"/>
              <w:right w:val="single" w:sz="4" w:space="0" w:color="auto"/>
            </w:tcBorders>
            <w:shd w:val="clear" w:color="auto" w:fill="auto"/>
          </w:tcPr>
          <w:p w14:paraId="4B1B9921" w14:textId="1296CBAB" w:rsidR="00710369" w:rsidRDefault="00710369" w:rsidP="00710369">
            <w:pPr>
              <w:pStyle w:val="NoSpace"/>
              <w:jc w:val="left"/>
            </w:pPr>
            <w:r w:rsidRPr="00810A15">
              <w:t>IOGP definition</w:t>
            </w:r>
          </w:p>
        </w:tc>
      </w:tr>
    </w:tbl>
    <w:p w14:paraId="16DA9704" w14:textId="77777777" w:rsidR="00337827" w:rsidRPr="00810A15" w:rsidRDefault="00337827" w:rsidP="00336556">
      <w:pPr>
        <w:pStyle w:val="NoSpace"/>
      </w:pPr>
    </w:p>
    <w:tbl>
      <w:tblPr>
        <w:tblW w:w="10206" w:type="dxa"/>
        <w:tblInd w:w="-5" w:type="dxa"/>
        <w:tblCellMar>
          <w:left w:w="70" w:type="dxa"/>
          <w:right w:w="70" w:type="dxa"/>
        </w:tblCellMar>
        <w:tblLook w:val="04A0" w:firstRow="1" w:lastRow="0" w:firstColumn="1" w:lastColumn="0" w:noHBand="0" w:noVBand="1"/>
      </w:tblPr>
      <w:tblGrid>
        <w:gridCol w:w="1843"/>
        <w:gridCol w:w="8363"/>
      </w:tblGrid>
      <w:tr w:rsidR="009441A1" w:rsidRPr="00810A15" w14:paraId="0CA450BB" w14:textId="77777777" w:rsidTr="00F005BE">
        <w:trPr>
          <w:trHeight w:val="340"/>
        </w:trPr>
        <w:tc>
          <w:tcPr>
            <w:tcW w:w="1843" w:type="dxa"/>
            <w:tcBorders>
              <w:top w:val="single" w:sz="4" w:space="0" w:color="auto"/>
              <w:left w:val="single" w:sz="4" w:space="0" w:color="auto"/>
              <w:bottom w:val="double" w:sz="6" w:space="0" w:color="auto"/>
              <w:right w:val="single" w:sz="4" w:space="0" w:color="auto"/>
            </w:tcBorders>
            <w:shd w:val="clear" w:color="auto" w:fill="4F81BD" w:themeFill="accent1"/>
            <w:noWrap/>
            <w:vAlign w:val="center"/>
            <w:hideMark/>
          </w:tcPr>
          <w:p w14:paraId="13E497BA" w14:textId="67438D5A" w:rsidR="009441A1" w:rsidRPr="00336556" w:rsidRDefault="00FF2287" w:rsidP="00336556">
            <w:pPr>
              <w:spacing w:after="0"/>
              <w:jc w:val="center"/>
              <w:rPr>
                <w:rFonts w:ascii="Calibri" w:eastAsia="Times New Roman" w:hAnsi="Calibri" w:cs="Times New Roman"/>
                <w:b/>
                <w:bCs/>
                <w:color w:val="FFFFFF" w:themeColor="background1"/>
                <w:lang w:eastAsia="it-IT"/>
              </w:rPr>
            </w:pPr>
            <w:r>
              <w:rPr>
                <w:rFonts w:ascii="Calibri" w:eastAsia="Times New Roman" w:hAnsi="Calibri" w:cs="Times New Roman"/>
                <w:b/>
                <w:bCs/>
                <w:color w:val="FFFFFF" w:themeColor="background1"/>
                <w:lang w:eastAsia="it-IT"/>
              </w:rPr>
              <w:t>PROD.12</w:t>
            </w:r>
          </w:p>
        </w:tc>
        <w:tc>
          <w:tcPr>
            <w:tcW w:w="8363" w:type="dxa"/>
            <w:tcBorders>
              <w:top w:val="single" w:sz="4" w:space="0" w:color="auto"/>
              <w:left w:val="nil"/>
              <w:bottom w:val="double" w:sz="6" w:space="0" w:color="auto"/>
              <w:right w:val="single" w:sz="4" w:space="0" w:color="auto"/>
            </w:tcBorders>
            <w:shd w:val="clear" w:color="auto" w:fill="4F81BD" w:themeFill="accent1"/>
            <w:vAlign w:val="center"/>
            <w:hideMark/>
          </w:tcPr>
          <w:p w14:paraId="439D8280" w14:textId="09B7F192" w:rsidR="009441A1" w:rsidRPr="00336556" w:rsidRDefault="0096651F" w:rsidP="00336556">
            <w:pPr>
              <w:spacing w:after="0"/>
              <w:rPr>
                <w:rFonts w:ascii="Calibri" w:eastAsia="Times New Roman" w:hAnsi="Calibri" w:cs="Times New Roman"/>
                <w:b/>
                <w:bCs/>
                <w:color w:val="FFFFFF" w:themeColor="background1"/>
                <w:lang w:eastAsia="it-IT"/>
              </w:rPr>
            </w:pPr>
            <w:r>
              <w:rPr>
                <w:b/>
                <w:bCs/>
                <w:color w:val="FFFFFF" w:themeColor="background1"/>
              </w:rPr>
              <w:t>O</w:t>
            </w:r>
            <w:r w:rsidR="009D5D4E" w:rsidRPr="00336556">
              <w:rPr>
                <w:b/>
                <w:bCs/>
                <w:color w:val="FFFFFF" w:themeColor="background1"/>
              </w:rPr>
              <w:t>perated gas production</w:t>
            </w:r>
          </w:p>
        </w:tc>
      </w:tr>
      <w:tr w:rsidR="009441A1" w:rsidRPr="00810A15" w14:paraId="2427A63C" w14:textId="77777777" w:rsidTr="00336556">
        <w:trPr>
          <w:trHeight w:val="567"/>
        </w:trPr>
        <w:tc>
          <w:tcPr>
            <w:tcW w:w="1843" w:type="dxa"/>
            <w:tcBorders>
              <w:top w:val="nil"/>
              <w:left w:val="single" w:sz="4" w:space="0" w:color="auto"/>
              <w:bottom w:val="single" w:sz="4" w:space="0" w:color="auto"/>
              <w:right w:val="single" w:sz="4" w:space="0" w:color="auto"/>
            </w:tcBorders>
            <w:shd w:val="clear" w:color="auto" w:fill="auto"/>
            <w:hideMark/>
          </w:tcPr>
          <w:p w14:paraId="16B9BC73" w14:textId="77777777" w:rsidR="009441A1" w:rsidRPr="00336556" w:rsidRDefault="009441A1" w:rsidP="00336556">
            <w:pPr>
              <w:spacing w:after="0"/>
              <w:jc w:val="center"/>
              <w:rPr>
                <w:rFonts w:ascii="Calibri" w:eastAsia="Times New Roman" w:hAnsi="Calibri" w:cs="Times New Roman"/>
                <w:b/>
                <w:bCs/>
                <w:color w:val="000000"/>
                <w:szCs w:val="20"/>
                <w:lang w:eastAsia="it-IT"/>
              </w:rPr>
            </w:pPr>
            <w:r w:rsidRPr="00336556">
              <w:rPr>
                <w:rFonts w:ascii="Calibri" w:eastAsia="Times New Roman" w:hAnsi="Calibri" w:cs="Times New Roman"/>
                <w:b/>
                <w:bCs/>
                <w:color w:val="000000"/>
                <w:szCs w:val="20"/>
                <w:lang w:eastAsia="it-IT"/>
              </w:rPr>
              <w:t>Definition and Boundary</w:t>
            </w:r>
          </w:p>
        </w:tc>
        <w:tc>
          <w:tcPr>
            <w:tcW w:w="8363" w:type="dxa"/>
            <w:tcBorders>
              <w:top w:val="nil"/>
              <w:left w:val="nil"/>
              <w:bottom w:val="single" w:sz="4" w:space="0" w:color="auto"/>
              <w:right w:val="single" w:sz="4" w:space="0" w:color="auto"/>
            </w:tcBorders>
            <w:shd w:val="clear" w:color="auto" w:fill="auto"/>
            <w:hideMark/>
          </w:tcPr>
          <w:p w14:paraId="6E7F4930" w14:textId="6AEA2C92" w:rsidR="009441A1" w:rsidRPr="00810A15" w:rsidRDefault="009D5D4E" w:rsidP="00336556">
            <w:pPr>
              <w:pStyle w:val="NoSpace"/>
              <w:jc w:val="left"/>
            </w:pPr>
            <w:r>
              <w:t>Each company provides its own operated</w:t>
            </w:r>
            <w:r w:rsidRPr="00165395">
              <w:t xml:space="preserve"> hydrocarbon production </w:t>
            </w:r>
            <w:r w:rsidRPr="00336556">
              <w:rPr>
                <w:u w:val="single"/>
              </w:rPr>
              <w:t xml:space="preserve">at </w:t>
            </w:r>
            <w:r w:rsidR="000602AA">
              <w:rPr>
                <w:u w:val="single"/>
              </w:rPr>
              <w:t xml:space="preserve">first </w:t>
            </w:r>
            <w:r w:rsidRPr="00336556">
              <w:rPr>
                <w:u w:val="single"/>
              </w:rPr>
              <w:t>point of sale</w:t>
            </w:r>
            <w:r>
              <w:t xml:space="preserve"> </w:t>
            </w:r>
            <w:r w:rsidRPr="00165395">
              <w:t>along the reporting year</w:t>
            </w:r>
            <w:r>
              <w:t xml:space="preserve">. The production </w:t>
            </w:r>
            <w:r w:rsidR="00417DAD">
              <w:t>should</w:t>
            </w:r>
            <w:r>
              <w:t xml:space="preserve"> include </w:t>
            </w:r>
            <w:r w:rsidR="009441A1" w:rsidRPr="00810A15">
              <w:t>unconventional</w:t>
            </w:r>
            <w:r>
              <w:t xml:space="preserve"> gas</w:t>
            </w:r>
            <w:r w:rsidR="001B2A8F" w:rsidRPr="00810A15">
              <w:t>.</w:t>
            </w:r>
          </w:p>
        </w:tc>
      </w:tr>
      <w:tr w:rsidR="009441A1" w:rsidRPr="00810A15" w14:paraId="78875065" w14:textId="77777777" w:rsidTr="00F005BE">
        <w:trPr>
          <w:trHeight w:val="340"/>
        </w:trPr>
        <w:tc>
          <w:tcPr>
            <w:tcW w:w="1843" w:type="dxa"/>
            <w:tcBorders>
              <w:top w:val="nil"/>
              <w:left w:val="single" w:sz="4" w:space="0" w:color="auto"/>
              <w:bottom w:val="single" w:sz="4" w:space="0" w:color="auto"/>
              <w:right w:val="single" w:sz="4" w:space="0" w:color="auto"/>
            </w:tcBorders>
            <w:shd w:val="clear" w:color="auto" w:fill="auto"/>
            <w:noWrap/>
            <w:hideMark/>
          </w:tcPr>
          <w:p w14:paraId="2020FF93" w14:textId="77777777" w:rsidR="009441A1" w:rsidRPr="00336556" w:rsidRDefault="009441A1" w:rsidP="00336556">
            <w:pPr>
              <w:spacing w:after="0"/>
              <w:jc w:val="center"/>
              <w:rPr>
                <w:rFonts w:ascii="Calibri" w:eastAsia="Times New Roman" w:hAnsi="Calibri" w:cs="Times New Roman"/>
                <w:b/>
                <w:bCs/>
                <w:color w:val="000000"/>
                <w:szCs w:val="20"/>
                <w:lang w:eastAsia="it-IT"/>
              </w:rPr>
            </w:pPr>
            <w:r w:rsidRPr="00336556">
              <w:rPr>
                <w:rFonts w:ascii="Calibri" w:eastAsia="Times New Roman" w:hAnsi="Calibri" w:cs="Times New Roman"/>
                <w:b/>
                <w:bCs/>
                <w:color w:val="000000"/>
                <w:szCs w:val="20"/>
                <w:lang w:eastAsia="it-IT"/>
              </w:rPr>
              <w:t>Methodology</w:t>
            </w:r>
          </w:p>
        </w:tc>
        <w:tc>
          <w:tcPr>
            <w:tcW w:w="8363" w:type="dxa"/>
            <w:tcBorders>
              <w:top w:val="nil"/>
              <w:left w:val="nil"/>
              <w:bottom w:val="single" w:sz="4" w:space="0" w:color="auto"/>
              <w:right w:val="single" w:sz="4" w:space="0" w:color="auto"/>
            </w:tcBorders>
            <w:shd w:val="clear" w:color="auto" w:fill="auto"/>
            <w:hideMark/>
          </w:tcPr>
          <w:p w14:paraId="2CF97196" w14:textId="2176ED40" w:rsidR="009441A1" w:rsidRPr="00810A15" w:rsidRDefault="00FF2287" w:rsidP="00336556">
            <w:pPr>
              <w:pStyle w:val="NoSpace"/>
              <w:jc w:val="left"/>
            </w:pPr>
            <w:r w:rsidRPr="00336556">
              <w:rPr>
                <w:b/>
                <w:bCs/>
              </w:rPr>
              <w:t>PROD.12</w:t>
            </w:r>
            <w:r w:rsidR="009D5D4E" w:rsidRPr="00165395">
              <w:t xml:space="preserve"> = </w:t>
            </w:r>
            <w:r w:rsidR="009D5D4E" w:rsidRPr="00810A15">
              <w:t>Production distributed to the market (sold or for free)</w:t>
            </w:r>
          </w:p>
        </w:tc>
      </w:tr>
      <w:tr w:rsidR="009441A1" w:rsidRPr="00810A15" w14:paraId="408CBC83" w14:textId="77777777" w:rsidTr="00F005BE">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A2428C6" w14:textId="7953BE25" w:rsidR="009441A1" w:rsidRPr="00336556" w:rsidRDefault="009441A1" w:rsidP="00336556">
            <w:pPr>
              <w:spacing w:after="0"/>
              <w:jc w:val="center"/>
              <w:rPr>
                <w:rFonts w:ascii="Calibri" w:eastAsia="Times New Roman" w:hAnsi="Calibri" w:cs="Times New Roman"/>
                <w:b/>
                <w:bCs/>
                <w:color w:val="000000"/>
                <w:szCs w:val="20"/>
                <w:lang w:eastAsia="it-IT"/>
              </w:rPr>
            </w:pPr>
            <w:r w:rsidRPr="00336556">
              <w:rPr>
                <w:rFonts w:ascii="Calibri" w:eastAsia="Times New Roman" w:hAnsi="Calibri" w:cs="Times New Roman"/>
                <w:b/>
                <w:bCs/>
                <w:color w:val="000000"/>
                <w:szCs w:val="20"/>
                <w:lang w:eastAsia="it-IT"/>
              </w:rPr>
              <w:t xml:space="preserve">Unit </w:t>
            </w:r>
          </w:p>
        </w:tc>
        <w:tc>
          <w:tcPr>
            <w:tcW w:w="8363" w:type="dxa"/>
            <w:tcBorders>
              <w:top w:val="single" w:sz="4" w:space="0" w:color="auto"/>
              <w:left w:val="nil"/>
              <w:bottom w:val="single" w:sz="4" w:space="0" w:color="auto"/>
              <w:right w:val="single" w:sz="4" w:space="0" w:color="auto"/>
            </w:tcBorders>
            <w:shd w:val="clear" w:color="auto" w:fill="auto"/>
            <w:hideMark/>
          </w:tcPr>
          <w:p w14:paraId="583D3E52" w14:textId="2A042A61" w:rsidR="009441A1" w:rsidRPr="00810A15" w:rsidRDefault="00BA21CA" w:rsidP="00336556">
            <w:pPr>
              <w:pStyle w:val="NoSpace"/>
              <w:jc w:val="left"/>
            </w:pPr>
            <w:r w:rsidRPr="00BA21CA">
              <w:t>Companies can report in their internal reporting units (</w:t>
            </w:r>
            <w:proofErr w:type="spellStart"/>
            <w:r>
              <w:t>scf</w:t>
            </w:r>
            <w:proofErr w:type="spellEnd"/>
            <w:r>
              <w:t>, sm3,</w:t>
            </w:r>
            <w:r w:rsidRPr="00BA21CA">
              <w:t xml:space="preserve"> etc) and specify the unit in the dedicated field</w:t>
            </w:r>
            <w:r w:rsidR="000614BA">
              <w:t>.</w:t>
            </w:r>
          </w:p>
        </w:tc>
      </w:tr>
      <w:tr w:rsidR="00912FF0" w:rsidRPr="00810A15" w14:paraId="184446EB" w14:textId="77777777" w:rsidTr="00F005BE">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228B691" w14:textId="763E7383" w:rsidR="00912FF0" w:rsidRPr="00336556" w:rsidRDefault="00912FF0" w:rsidP="00912FF0">
            <w:pPr>
              <w:spacing w:after="0"/>
              <w:jc w:val="center"/>
              <w:rPr>
                <w:rFonts w:ascii="Calibri" w:eastAsia="Times New Roman" w:hAnsi="Calibri" w:cs="Times New Roman"/>
                <w:b/>
                <w:bCs/>
                <w:color w:val="000000"/>
                <w:szCs w:val="20"/>
                <w:lang w:eastAsia="it-IT"/>
              </w:rPr>
            </w:pPr>
            <w:r w:rsidRPr="00336556">
              <w:rPr>
                <w:rFonts w:ascii="Calibri" w:eastAsia="Times New Roman" w:hAnsi="Calibri" w:cs="Times New Roman"/>
                <w:b/>
                <w:bCs/>
                <w:color w:val="000000"/>
                <w:szCs w:val="20"/>
                <w:lang w:eastAsia="it-IT"/>
              </w:rPr>
              <w:t>External references</w:t>
            </w:r>
          </w:p>
        </w:tc>
        <w:tc>
          <w:tcPr>
            <w:tcW w:w="8363" w:type="dxa"/>
            <w:tcBorders>
              <w:top w:val="single" w:sz="4" w:space="0" w:color="auto"/>
              <w:left w:val="nil"/>
              <w:bottom w:val="single" w:sz="4" w:space="0" w:color="auto"/>
              <w:right w:val="single" w:sz="4" w:space="0" w:color="auto"/>
            </w:tcBorders>
            <w:shd w:val="clear" w:color="auto" w:fill="auto"/>
          </w:tcPr>
          <w:p w14:paraId="1EF0D5BC" w14:textId="39011491" w:rsidR="00912FF0" w:rsidRPr="00810A15" w:rsidRDefault="00912FF0" w:rsidP="00912FF0">
            <w:pPr>
              <w:pStyle w:val="NoSpace"/>
              <w:jc w:val="left"/>
            </w:pPr>
            <w:r>
              <w:t>Same as PROD.11.</w:t>
            </w:r>
          </w:p>
        </w:tc>
      </w:tr>
    </w:tbl>
    <w:p w14:paraId="3032D167" w14:textId="012E4D11" w:rsidR="00337827" w:rsidRPr="00F005BE" w:rsidRDefault="00337827" w:rsidP="00F005BE">
      <w:pPr>
        <w:pStyle w:val="NoSpace"/>
      </w:pPr>
    </w:p>
    <w:tbl>
      <w:tblPr>
        <w:tblW w:w="10206" w:type="dxa"/>
        <w:tblInd w:w="-5" w:type="dxa"/>
        <w:tblCellMar>
          <w:left w:w="70" w:type="dxa"/>
          <w:right w:w="70" w:type="dxa"/>
        </w:tblCellMar>
        <w:tblLook w:val="04A0" w:firstRow="1" w:lastRow="0" w:firstColumn="1" w:lastColumn="0" w:noHBand="0" w:noVBand="1"/>
      </w:tblPr>
      <w:tblGrid>
        <w:gridCol w:w="1843"/>
        <w:gridCol w:w="8363"/>
      </w:tblGrid>
      <w:tr w:rsidR="00B605E0" w:rsidRPr="00810A15" w14:paraId="65E74D5E" w14:textId="77777777" w:rsidTr="00F005BE">
        <w:trPr>
          <w:trHeight w:val="340"/>
        </w:trPr>
        <w:tc>
          <w:tcPr>
            <w:tcW w:w="1843" w:type="dxa"/>
            <w:tcBorders>
              <w:top w:val="single" w:sz="4" w:space="0" w:color="auto"/>
              <w:left w:val="single" w:sz="4" w:space="0" w:color="auto"/>
              <w:bottom w:val="double" w:sz="6" w:space="0" w:color="auto"/>
              <w:right w:val="single" w:sz="4" w:space="0" w:color="auto"/>
            </w:tcBorders>
            <w:shd w:val="clear" w:color="auto" w:fill="4F81BD" w:themeFill="accent1"/>
            <w:noWrap/>
            <w:vAlign w:val="center"/>
            <w:hideMark/>
          </w:tcPr>
          <w:p w14:paraId="40F0D2E3" w14:textId="4C5D1B08" w:rsidR="00B605E0" w:rsidRPr="003A4D4C" w:rsidRDefault="00FF2287" w:rsidP="00FF2287">
            <w:pPr>
              <w:spacing w:after="0"/>
              <w:jc w:val="center"/>
              <w:rPr>
                <w:rFonts w:ascii="Calibri" w:eastAsia="Times New Roman" w:hAnsi="Calibri" w:cs="Times New Roman"/>
                <w:b/>
                <w:bCs/>
                <w:color w:val="FFFFFF" w:themeColor="background1"/>
                <w:lang w:eastAsia="it-IT"/>
              </w:rPr>
            </w:pPr>
            <w:r>
              <w:rPr>
                <w:rFonts w:ascii="Calibri" w:eastAsia="Times New Roman" w:hAnsi="Calibri" w:cs="Times New Roman"/>
                <w:b/>
                <w:bCs/>
                <w:color w:val="FFFFFF" w:themeColor="background1"/>
                <w:lang w:eastAsia="it-IT"/>
              </w:rPr>
              <w:t>PROD.1</w:t>
            </w:r>
          </w:p>
        </w:tc>
        <w:tc>
          <w:tcPr>
            <w:tcW w:w="8363" w:type="dxa"/>
            <w:tcBorders>
              <w:top w:val="single" w:sz="4" w:space="0" w:color="auto"/>
              <w:left w:val="nil"/>
              <w:bottom w:val="double" w:sz="6" w:space="0" w:color="auto"/>
              <w:right w:val="single" w:sz="4" w:space="0" w:color="auto"/>
            </w:tcBorders>
            <w:shd w:val="clear" w:color="auto" w:fill="4F81BD" w:themeFill="accent1"/>
            <w:vAlign w:val="center"/>
            <w:hideMark/>
          </w:tcPr>
          <w:p w14:paraId="71D7265A" w14:textId="4C0D8DF0" w:rsidR="00B605E0" w:rsidRPr="003A4D4C" w:rsidRDefault="00B605E0" w:rsidP="00FF2287">
            <w:pPr>
              <w:spacing w:after="0"/>
              <w:rPr>
                <w:rFonts w:ascii="Calibri" w:eastAsia="Times New Roman" w:hAnsi="Calibri" w:cs="Times New Roman"/>
                <w:b/>
                <w:bCs/>
                <w:color w:val="FFFFFF" w:themeColor="background1"/>
                <w:lang w:eastAsia="it-IT"/>
              </w:rPr>
            </w:pPr>
            <w:r w:rsidRPr="00B605E0">
              <w:rPr>
                <w:b/>
                <w:bCs/>
                <w:color w:val="FFFFFF" w:themeColor="background1"/>
              </w:rPr>
              <w:t>Gas as a share of operated production</w:t>
            </w:r>
          </w:p>
        </w:tc>
      </w:tr>
      <w:tr w:rsidR="00B605E0" w:rsidRPr="00810A15" w14:paraId="769DB8EE" w14:textId="77777777" w:rsidTr="00FF2287">
        <w:trPr>
          <w:trHeight w:val="567"/>
        </w:trPr>
        <w:tc>
          <w:tcPr>
            <w:tcW w:w="1843" w:type="dxa"/>
            <w:tcBorders>
              <w:top w:val="nil"/>
              <w:left w:val="single" w:sz="4" w:space="0" w:color="auto"/>
              <w:bottom w:val="single" w:sz="4" w:space="0" w:color="auto"/>
              <w:right w:val="single" w:sz="4" w:space="0" w:color="auto"/>
            </w:tcBorders>
            <w:shd w:val="clear" w:color="auto" w:fill="auto"/>
            <w:hideMark/>
          </w:tcPr>
          <w:p w14:paraId="759006F5" w14:textId="77777777" w:rsidR="00B605E0" w:rsidRPr="003A4D4C" w:rsidRDefault="00B605E0" w:rsidP="00FF2287">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Definition and Boundary</w:t>
            </w:r>
          </w:p>
        </w:tc>
        <w:tc>
          <w:tcPr>
            <w:tcW w:w="8363" w:type="dxa"/>
            <w:tcBorders>
              <w:top w:val="nil"/>
              <w:left w:val="nil"/>
              <w:bottom w:val="single" w:sz="4" w:space="0" w:color="auto"/>
              <w:right w:val="single" w:sz="4" w:space="0" w:color="auto"/>
            </w:tcBorders>
            <w:shd w:val="clear" w:color="auto" w:fill="auto"/>
            <w:hideMark/>
          </w:tcPr>
          <w:p w14:paraId="3167CFDA" w14:textId="55C1C246" w:rsidR="00B605E0" w:rsidRPr="00810A15" w:rsidRDefault="003452D0" w:rsidP="00FF2287">
            <w:pPr>
              <w:pStyle w:val="NoSpace"/>
              <w:jc w:val="left"/>
            </w:pPr>
            <w:r w:rsidRPr="009C7008">
              <w:t>This KPI is calculated at the OGCI consolidated level</w:t>
            </w:r>
            <w:r>
              <w:t xml:space="preserve"> </w:t>
            </w:r>
            <w:r w:rsidR="00B605E0">
              <w:t>based on A.1.1 and A.1.2. Definitions and boundari</w:t>
            </w:r>
            <w:r w:rsidR="00F90D2B">
              <w:t>es are the ones applied for A.1.1 and A.1.2.</w:t>
            </w:r>
            <w:r w:rsidR="00951F55">
              <w:t xml:space="preserve"> (</w:t>
            </w:r>
            <w:proofErr w:type="gramStart"/>
            <w:r w:rsidR="00951F55">
              <w:t>i.e.</w:t>
            </w:r>
            <w:proofErr w:type="gramEnd"/>
            <w:r w:rsidR="00951F55">
              <w:t xml:space="preserve"> at point of sale, including unconventional gas).</w:t>
            </w:r>
          </w:p>
        </w:tc>
      </w:tr>
      <w:tr w:rsidR="00B605E0" w:rsidRPr="00810A15" w14:paraId="220D5DF4" w14:textId="77777777" w:rsidTr="00336556">
        <w:trPr>
          <w:trHeight w:val="850"/>
        </w:trPr>
        <w:tc>
          <w:tcPr>
            <w:tcW w:w="1843" w:type="dxa"/>
            <w:tcBorders>
              <w:top w:val="nil"/>
              <w:left w:val="single" w:sz="4" w:space="0" w:color="auto"/>
              <w:bottom w:val="single" w:sz="4" w:space="0" w:color="auto"/>
              <w:right w:val="single" w:sz="4" w:space="0" w:color="auto"/>
            </w:tcBorders>
            <w:shd w:val="clear" w:color="auto" w:fill="auto"/>
            <w:noWrap/>
            <w:hideMark/>
          </w:tcPr>
          <w:p w14:paraId="1BCC8164" w14:textId="77777777" w:rsidR="00B605E0" w:rsidRPr="003A4D4C" w:rsidRDefault="00B605E0" w:rsidP="00FF2287">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Methodology</w:t>
            </w:r>
          </w:p>
        </w:tc>
        <w:tc>
          <w:tcPr>
            <w:tcW w:w="8363" w:type="dxa"/>
            <w:tcBorders>
              <w:top w:val="nil"/>
              <w:left w:val="nil"/>
              <w:bottom w:val="single" w:sz="4" w:space="0" w:color="auto"/>
              <w:right w:val="single" w:sz="4" w:space="0" w:color="auto"/>
            </w:tcBorders>
            <w:shd w:val="clear" w:color="auto" w:fill="auto"/>
            <w:hideMark/>
          </w:tcPr>
          <w:p w14:paraId="4F0AF05A" w14:textId="01485110" w:rsidR="00B605E0" w:rsidRDefault="00FF2287" w:rsidP="00FF2287">
            <w:pPr>
              <w:pStyle w:val="NoSpace"/>
              <w:jc w:val="left"/>
            </w:pPr>
            <w:r>
              <w:rPr>
                <w:b/>
                <w:bCs/>
              </w:rPr>
              <w:t>PROD.1</w:t>
            </w:r>
            <w:r w:rsidR="00951F55" w:rsidRPr="00336556">
              <w:rPr>
                <w:b/>
                <w:bCs/>
              </w:rPr>
              <w:t xml:space="preserve"> = </w:t>
            </w:r>
            <w:r>
              <w:rPr>
                <w:b/>
                <w:bCs/>
              </w:rPr>
              <w:t>PROD.12</w:t>
            </w:r>
            <w:r w:rsidR="00951F55" w:rsidRPr="00336556">
              <w:rPr>
                <w:b/>
                <w:bCs/>
              </w:rPr>
              <w:t xml:space="preserve"> / </w:t>
            </w:r>
            <w:r>
              <w:rPr>
                <w:b/>
                <w:bCs/>
              </w:rPr>
              <w:t>PROD.11</w:t>
            </w:r>
          </w:p>
          <w:p w14:paraId="0F8CA7C8" w14:textId="1BCD9903" w:rsidR="00951F55" w:rsidRPr="00810A15" w:rsidRDefault="00951F55" w:rsidP="00336556">
            <w:pPr>
              <w:pStyle w:val="NoSpace"/>
            </w:pPr>
            <w:r>
              <w:t xml:space="preserve">Gas as a share of total operated production = </w:t>
            </w:r>
            <w:r w:rsidRPr="00951F55">
              <w:t xml:space="preserve">Total operated gas production </w:t>
            </w:r>
            <w:r>
              <w:t xml:space="preserve">/ Total </w:t>
            </w:r>
            <w:r w:rsidR="006D0166">
              <w:t xml:space="preserve">operated </w:t>
            </w:r>
            <w:r>
              <w:t>hydrocarbon production</w:t>
            </w:r>
          </w:p>
        </w:tc>
      </w:tr>
      <w:tr w:rsidR="004D010B" w:rsidRPr="00810A15" w14:paraId="4BB3AE09" w14:textId="77777777" w:rsidTr="00F005BE">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5DA1940" w14:textId="7CC9D83A" w:rsidR="004D010B" w:rsidRPr="003A4D4C" w:rsidRDefault="004D010B" w:rsidP="004D010B">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 xml:space="preserve">Unit </w:t>
            </w:r>
          </w:p>
        </w:tc>
        <w:tc>
          <w:tcPr>
            <w:tcW w:w="8363" w:type="dxa"/>
            <w:tcBorders>
              <w:top w:val="single" w:sz="4" w:space="0" w:color="auto"/>
              <w:left w:val="nil"/>
              <w:bottom w:val="single" w:sz="4" w:space="0" w:color="auto"/>
              <w:right w:val="single" w:sz="4" w:space="0" w:color="auto"/>
            </w:tcBorders>
            <w:shd w:val="clear" w:color="auto" w:fill="auto"/>
            <w:hideMark/>
          </w:tcPr>
          <w:p w14:paraId="01A901B8" w14:textId="4F813C7B" w:rsidR="004D010B" w:rsidRPr="00810A15" w:rsidRDefault="004D010B">
            <w:pPr>
              <w:pStyle w:val="NoSpace"/>
              <w:jc w:val="left"/>
            </w:pPr>
            <w:r>
              <w:t>[%]</w:t>
            </w:r>
          </w:p>
        </w:tc>
      </w:tr>
      <w:tr w:rsidR="004D010B" w:rsidRPr="00810A15" w14:paraId="76361568" w14:textId="77777777" w:rsidTr="00F005BE">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7285FF8" w14:textId="77777777" w:rsidR="004D010B" w:rsidRPr="003A4D4C" w:rsidRDefault="004D010B" w:rsidP="004D010B">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External references</w:t>
            </w:r>
          </w:p>
        </w:tc>
        <w:tc>
          <w:tcPr>
            <w:tcW w:w="8363" w:type="dxa"/>
            <w:tcBorders>
              <w:top w:val="single" w:sz="4" w:space="0" w:color="auto"/>
              <w:left w:val="nil"/>
              <w:bottom w:val="single" w:sz="4" w:space="0" w:color="auto"/>
              <w:right w:val="single" w:sz="4" w:space="0" w:color="auto"/>
            </w:tcBorders>
            <w:shd w:val="clear" w:color="auto" w:fill="auto"/>
          </w:tcPr>
          <w:p w14:paraId="72F68415" w14:textId="4129689B" w:rsidR="004D010B" w:rsidRPr="00810A15" w:rsidRDefault="004D010B" w:rsidP="004D010B">
            <w:pPr>
              <w:pStyle w:val="NoSpace"/>
              <w:jc w:val="left"/>
            </w:pPr>
            <w:r>
              <w:t>NA</w:t>
            </w:r>
          </w:p>
        </w:tc>
      </w:tr>
    </w:tbl>
    <w:p w14:paraId="7CD6BAE6" w14:textId="77777777" w:rsidR="00866681" w:rsidRPr="00F005BE" w:rsidRDefault="00866681" w:rsidP="00866681">
      <w:pPr>
        <w:pStyle w:val="NoSpace"/>
      </w:pPr>
    </w:p>
    <w:p w14:paraId="76F12225" w14:textId="7D1DF42A" w:rsidR="00685BF1" w:rsidRPr="00725497" w:rsidRDefault="00B10066" w:rsidP="004D010B">
      <w:pPr>
        <w:rPr>
          <w:b/>
          <w:bCs/>
          <w:lang w:eastAsia="fr-FR"/>
        </w:rPr>
      </w:pPr>
      <w:r w:rsidRPr="00725497">
        <w:rPr>
          <w:b/>
          <w:bCs/>
          <w:u w:val="single"/>
          <w:lang w:eastAsia="fr-FR"/>
        </w:rPr>
        <w:t>Note</w:t>
      </w:r>
      <w:r w:rsidR="00092D01" w:rsidRPr="00725497">
        <w:rPr>
          <w:b/>
          <w:bCs/>
          <w:u w:val="single"/>
          <w:lang w:eastAsia="fr-FR"/>
        </w:rPr>
        <w:t>:</w:t>
      </w:r>
      <w:r w:rsidR="00092D01" w:rsidRPr="00725497">
        <w:rPr>
          <w:b/>
          <w:bCs/>
          <w:lang w:eastAsia="fr-FR"/>
        </w:rPr>
        <w:t xml:space="preserve"> </w:t>
      </w:r>
      <w:r w:rsidR="005466AA" w:rsidRPr="00725497">
        <w:rPr>
          <w:b/>
          <w:bCs/>
          <w:lang w:eastAsia="fr-FR"/>
        </w:rPr>
        <w:t xml:space="preserve">The same </w:t>
      </w:r>
      <w:r w:rsidR="00337827" w:rsidRPr="00725497">
        <w:rPr>
          <w:b/>
          <w:bCs/>
          <w:lang w:eastAsia="fr-FR"/>
        </w:rPr>
        <w:t xml:space="preserve">three </w:t>
      </w:r>
      <w:r w:rsidR="005466AA" w:rsidRPr="00725497">
        <w:rPr>
          <w:b/>
          <w:bCs/>
          <w:lang w:eastAsia="fr-FR"/>
        </w:rPr>
        <w:t xml:space="preserve">indicators </w:t>
      </w:r>
      <w:r w:rsidR="00337827" w:rsidRPr="00725497">
        <w:rPr>
          <w:b/>
          <w:bCs/>
          <w:lang w:eastAsia="fr-FR"/>
        </w:rPr>
        <w:t xml:space="preserve">as </w:t>
      </w:r>
      <w:r w:rsidR="00FF2287" w:rsidRPr="00725497">
        <w:rPr>
          <w:b/>
          <w:bCs/>
          <w:lang w:eastAsia="fr-FR"/>
        </w:rPr>
        <w:t>PROD.11</w:t>
      </w:r>
      <w:r w:rsidR="004D010B" w:rsidRPr="00725497">
        <w:rPr>
          <w:b/>
          <w:bCs/>
          <w:lang w:eastAsia="fr-FR"/>
        </w:rPr>
        <w:t xml:space="preserve">, </w:t>
      </w:r>
      <w:r w:rsidR="00FF2287" w:rsidRPr="00725497">
        <w:rPr>
          <w:b/>
          <w:bCs/>
          <w:lang w:eastAsia="fr-FR"/>
        </w:rPr>
        <w:t>PROD.12</w:t>
      </w:r>
      <w:r w:rsidR="004D010B" w:rsidRPr="00725497">
        <w:rPr>
          <w:b/>
          <w:bCs/>
          <w:lang w:eastAsia="fr-FR"/>
        </w:rPr>
        <w:t xml:space="preserve"> and </w:t>
      </w:r>
      <w:r w:rsidR="00FF2287" w:rsidRPr="00725497">
        <w:rPr>
          <w:b/>
          <w:bCs/>
          <w:lang w:eastAsia="fr-FR"/>
        </w:rPr>
        <w:t>PROD.1</w:t>
      </w:r>
      <w:r w:rsidR="00337827" w:rsidRPr="00725497">
        <w:rPr>
          <w:b/>
          <w:bCs/>
          <w:lang w:eastAsia="fr-FR"/>
        </w:rPr>
        <w:t xml:space="preserve"> </w:t>
      </w:r>
      <w:r w:rsidR="005466AA" w:rsidRPr="00725497">
        <w:rPr>
          <w:b/>
          <w:bCs/>
          <w:lang w:eastAsia="fr-FR"/>
        </w:rPr>
        <w:t xml:space="preserve">are </w:t>
      </w:r>
      <w:r w:rsidR="004D010B" w:rsidRPr="00725497">
        <w:rPr>
          <w:b/>
          <w:bCs/>
          <w:lang w:eastAsia="fr-FR"/>
        </w:rPr>
        <w:t xml:space="preserve">also reported </w:t>
      </w:r>
      <w:r w:rsidR="005466AA" w:rsidRPr="00725497">
        <w:rPr>
          <w:b/>
          <w:bCs/>
          <w:lang w:eastAsia="fr-FR"/>
        </w:rPr>
        <w:t xml:space="preserve">in the </w:t>
      </w:r>
      <w:r w:rsidR="004D010B" w:rsidRPr="00946D14">
        <w:rPr>
          <w:b/>
          <w:bCs/>
          <w:lang w:eastAsia="fr-FR"/>
        </w:rPr>
        <w:t>e</w:t>
      </w:r>
      <w:r w:rsidR="005466AA" w:rsidRPr="00946D14">
        <w:rPr>
          <w:b/>
          <w:bCs/>
          <w:lang w:eastAsia="fr-FR"/>
        </w:rPr>
        <w:t xml:space="preserve">quity </w:t>
      </w:r>
      <w:r w:rsidR="004D010B" w:rsidRPr="00946D14">
        <w:rPr>
          <w:b/>
          <w:bCs/>
          <w:lang w:eastAsia="fr-FR"/>
        </w:rPr>
        <w:t>s</w:t>
      </w:r>
      <w:r w:rsidR="005466AA" w:rsidRPr="00946D14">
        <w:rPr>
          <w:b/>
          <w:bCs/>
          <w:lang w:eastAsia="fr-FR"/>
        </w:rPr>
        <w:t>hare domain</w:t>
      </w:r>
      <w:r w:rsidR="005466AA" w:rsidRPr="00725497">
        <w:rPr>
          <w:b/>
          <w:bCs/>
          <w:lang w:eastAsia="fr-FR"/>
        </w:rPr>
        <w:t xml:space="preserve"> </w:t>
      </w:r>
      <w:r w:rsidR="004D010B" w:rsidRPr="00725497">
        <w:rPr>
          <w:b/>
          <w:bCs/>
          <w:lang w:eastAsia="fr-FR"/>
        </w:rPr>
        <w:t xml:space="preserve">and covered by the following indicators: </w:t>
      </w:r>
      <w:r w:rsidR="00FF2287" w:rsidRPr="00725497">
        <w:rPr>
          <w:b/>
          <w:bCs/>
          <w:lang w:eastAsia="fr-FR"/>
        </w:rPr>
        <w:t>PROD.21, PROD.22 and PROD.2</w:t>
      </w:r>
      <w:r w:rsidR="005466AA" w:rsidRPr="00725497">
        <w:rPr>
          <w:b/>
          <w:bCs/>
          <w:lang w:eastAsia="fr-FR"/>
        </w:rPr>
        <w:t xml:space="preserve">. </w:t>
      </w:r>
      <w:r w:rsidR="004D010B" w:rsidRPr="00725497">
        <w:rPr>
          <w:b/>
          <w:bCs/>
          <w:lang w:eastAsia="fr-FR"/>
        </w:rPr>
        <w:t xml:space="preserve">The boundary “equity share domain” is defined above in the </w:t>
      </w:r>
      <w:r w:rsidR="00830219" w:rsidRPr="00725497">
        <w:rPr>
          <w:b/>
          <w:bCs/>
          <w:lang w:eastAsia="fr-FR"/>
        </w:rPr>
        <w:t>s</w:t>
      </w:r>
      <w:r w:rsidR="004D010B" w:rsidRPr="00725497">
        <w:rPr>
          <w:b/>
          <w:bCs/>
          <w:lang w:eastAsia="fr-FR"/>
        </w:rPr>
        <w:t>ection “</w:t>
      </w:r>
      <w:r w:rsidR="008144B3" w:rsidRPr="00725497">
        <w:rPr>
          <w:b/>
          <w:bCs/>
          <w:lang w:eastAsia="fr-FR"/>
        </w:rPr>
        <w:fldChar w:fldCharType="begin"/>
      </w:r>
      <w:r w:rsidR="008144B3" w:rsidRPr="00725497">
        <w:rPr>
          <w:b/>
          <w:bCs/>
          <w:lang w:eastAsia="fr-FR"/>
        </w:rPr>
        <w:instrText xml:space="preserve"> REF _Ref18401014 \h </w:instrText>
      </w:r>
      <w:r w:rsidR="00946D14">
        <w:rPr>
          <w:b/>
          <w:bCs/>
          <w:lang w:eastAsia="fr-FR"/>
        </w:rPr>
        <w:instrText xml:space="preserve"> \* MERGEFORMAT </w:instrText>
      </w:r>
      <w:r w:rsidR="008144B3" w:rsidRPr="00725497">
        <w:rPr>
          <w:b/>
          <w:bCs/>
          <w:lang w:eastAsia="fr-FR"/>
        </w:rPr>
      </w:r>
      <w:r w:rsidR="008144B3" w:rsidRPr="00725497">
        <w:rPr>
          <w:b/>
          <w:bCs/>
          <w:lang w:eastAsia="fr-FR"/>
        </w:rPr>
        <w:fldChar w:fldCharType="separate"/>
      </w:r>
      <w:r w:rsidR="00120F27" w:rsidRPr="00725497">
        <w:rPr>
          <w:b/>
          <w:bCs/>
        </w:rPr>
        <w:t>Definitions</w:t>
      </w:r>
      <w:r w:rsidR="008144B3" w:rsidRPr="00725497">
        <w:rPr>
          <w:b/>
          <w:bCs/>
          <w:lang w:eastAsia="fr-FR"/>
        </w:rPr>
        <w:fldChar w:fldCharType="end"/>
      </w:r>
      <w:r w:rsidR="008144B3" w:rsidRPr="00725497">
        <w:rPr>
          <w:b/>
          <w:bCs/>
          <w:lang w:eastAsia="fr-FR"/>
        </w:rPr>
        <w:t>”.</w:t>
      </w:r>
    </w:p>
    <w:p w14:paraId="4B85815E" w14:textId="32D5B329" w:rsidR="009441A1" w:rsidRDefault="008B10D4" w:rsidP="005C77BD">
      <w:pPr>
        <w:pStyle w:val="Heading2"/>
      </w:pPr>
      <w:r>
        <w:t xml:space="preserve">GHG </w:t>
      </w:r>
      <w:r w:rsidR="00092D01" w:rsidRPr="00810A15">
        <w:t>Emission</w:t>
      </w:r>
      <w:r w:rsidR="00FF2287">
        <w:t>s</w:t>
      </w:r>
    </w:p>
    <w:tbl>
      <w:tblPr>
        <w:tblW w:w="10206" w:type="dxa"/>
        <w:tblInd w:w="-5" w:type="dxa"/>
        <w:tblCellMar>
          <w:left w:w="70" w:type="dxa"/>
          <w:right w:w="70" w:type="dxa"/>
        </w:tblCellMar>
        <w:tblLook w:val="04A0" w:firstRow="1" w:lastRow="0" w:firstColumn="1" w:lastColumn="0" w:noHBand="0" w:noVBand="1"/>
      </w:tblPr>
      <w:tblGrid>
        <w:gridCol w:w="1843"/>
        <w:gridCol w:w="8363"/>
      </w:tblGrid>
      <w:tr w:rsidR="00FF2287" w:rsidRPr="00810A15" w14:paraId="0FF27398" w14:textId="77777777" w:rsidTr="00F005BE">
        <w:trPr>
          <w:trHeight w:val="340"/>
        </w:trPr>
        <w:tc>
          <w:tcPr>
            <w:tcW w:w="1843" w:type="dxa"/>
            <w:tcBorders>
              <w:top w:val="single" w:sz="4" w:space="0" w:color="auto"/>
              <w:left w:val="single" w:sz="4" w:space="0" w:color="auto"/>
              <w:bottom w:val="double" w:sz="6" w:space="0" w:color="auto"/>
              <w:right w:val="single" w:sz="4" w:space="0" w:color="auto"/>
            </w:tcBorders>
            <w:shd w:val="clear" w:color="auto" w:fill="4F81BD" w:themeFill="accent1"/>
            <w:noWrap/>
            <w:vAlign w:val="center"/>
            <w:hideMark/>
          </w:tcPr>
          <w:p w14:paraId="3A6800E3" w14:textId="79AA9E92" w:rsidR="00FF2287" w:rsidRPr="003A4D4C" w:rsidRDefault="00FF2287" w:rsidP="00FF2287">
            <w:pPr>
              <w:spacing w:after="0"/>
              <w:jc w:val="center"/>
              <w:rPr>
                <w:rFonts w:ascii="Calibri" w:eastAsia="Times New Roman" w:hAnsi="Calibri" w:cs="Times New Roman"/>
                <w:b/>
                <w:bCs/>
                <w:color w:val="FFFFFF" w:themeColor="background1"/>
                <w:lang w:eastAsia="it-IT"/>
              </w:rPr>
            </w:pPr>
            <w:r>
              <w:rPr>
                <w:rFonts w:ascii="Calibri" w:eastAsia="Times New Roman" w:hAnsi="Calibri" w:cs="Times New Roman"/>
                <w:b/>
                <w:bCs/>
                <w:color w:val="FFFFFF" w:themeColor="background1"/>
                <w:lang w:eastAsia="it-IT"/>
              </w:rPr>
              <w:t>GHG.1</w:t>
            </w:r>
          </w:p>
        </w:tc>
        <w:tc>
          <w:tcPr>
            <w:tcW w:w="8363" w:type="dxa"/>
            <w:tcBorders>
              <w:top w:val="single" w:sz="4" w:space="0" w:color="auto"/>
              <w:left w:val="nil"/>
              <w:bottom w:val="double" w:sz="6" w:space="0" w:color="auto"/>
              <w:right w:val="single" w:sz="4" w:space="0" w:color="auto"/>
            </w:tcBorders>
            <w:shd w:val="clear" w:color="auto" w:fill="4F81BD" w:themeFill="accent1"/>
            <w:vAlign w:val="center"/>
            <w:hideMark/>
          </w:tcPr>
          <w:p w14:paraId="42F6C50E" w14:textId="76787DE2" w:rsidR="00FF2287" w:rsidRPr="003A4D4C" w:rsidRDefault="00FF2287" w:rsidP="00FF2287">
            <w:pPr>
              <w:spacing w:after="0"/>
              <w:rPr>
                <w:rFonts w:ascii="Calibri" w:eastAsia="Times New Roman" w:hAnsi="Calibri" w:cs="Times New Roman"/>
                <w:b/>
                <w:bCs/>
                <w:color w:val="FFFFFF" w:themeColor="background1"/>
                <w:lang w:eastAsia="it-IT"/>
              </w:rPr>
            </w:pPr>
            <w:r>
              <w:rPr>
                <w:b/>
                <w:bCs/>
                <w:color w:val="FFFFFF" w:themeColor="background1"/>
              </w:rPr>
              <w:t>Total operated GHG emissions Scope 1</w:t>
            </w:r>
          </w:p>
        </w:tc>
      </w:tr>
      <w:tr w:rsidR="00FF2287" w:rsidRPr="00810A15" w14:paraId="2655AB07" w14:textId="77777777" w:rsidTr="00336556">
        <w:trPr>
          <w:trHeight w:val="1304"/>
        </w:trPr>
        <w:tc>
          <w:tcPr>
            <w:tcW w:w="1843" w:type="dxa"/>
            <w:tcBorders>
              <w:top w:val="nil"/>
              <w:left w:val="single" w:sz="4" w:space="0" w:color="auto"/>
              <w:bottom w:val="single" w:sz="4" w:space="0" w:color="auto"/>
              <w:right w:val="single" w:sz="4" w:space="0" w:color="auto"/>
            </w:tcBorders>
            <w:shd w:val="clear" w:color="auto" w:fill="auto"/>
            <w:hideMark/>
          </w:tcPr>
          <w:p w14:paraId="634948F6" w14:textId="77777777" w:rsidR="00FF2287" w:rsidRPr="003A4D4C" w:rsidRDefault="00FF2287" w:rsidP="00FF2287">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Definition and Boundary</w:t>
            </w:r>
          </w:p>
        </w:tc>
        <w:tc>
          <w:tcPr>
            <w:tcW w:w="8363" w:type="dxa"/>
            <w:tcBorders>
              <w:top w:val="nil"/>
              <w:left w:val="nil"/>
              <w:bottom w:val="single" w:sz="4" w:space="0" w:color="auto"/>
              <w:right w:val="single" w:sz="4" w:space="0" w:color="auto"/>
            </w:tcBorders>
            <w:shd w:val="clear" w:color="auto" w:fill="auto"/>
            <w:hideMark/>
          </w:tcPr>
          <w:p w14:paraId="5F0E6351" w14:textId="77777777" w:rsidR="00725CEF" w:rsidRDefault="00FF2287" w:rsidP="00336556">
            <w:pPr>
              <w:pStyle w:val="NoSpace"/>
            </w:pPr>
            <w:r>
              <w:t>Each company provides its own operated</w:t>
            </w:r>
            <w:r w:rsidRPr="00165395">
              <w:t xml:space="preserve"> </w:t>
            </w:r>
            <w:r>
              <w:t xml:space="preserve">GHG emissions Scope 1 </w:t>
            </w:r>
            <w:r w:rsidRPr="00165395">
              <w:t>along the reporting year</w:t>
            </w:r>
            <w:r>
              <w:t xml:space="preserve">. </w:t>
            </w:r>
          </w:p>
          <w:p w14:paraId="430D7C10" w14:textId="0A631E44" w:rsidR="00FF2287" w:rsidRPr="00336556" w:rsidRDefault="00FF2287" w:rsidP="00336556">
            <w:pPr>
              <w:pStyle w:val="NoSpace"/>
              <w:rPr>
                <w:lang w:eastAsia="en-US"/>
              </w:rPr>
            </w:pPr>
            <w:r>
              <w:t>These</w:t>
            </w:r>
            <w:r w:rsidRPr="00336556">
              <w:t xml:space="preserve"> GHG emissions </w:t>
            </w:r>
            <w:r w:rsidR="00417DAD">
              <w:t>should</w:t>
            </w:r>
            <w:r w:rsidR="00DF12A7">
              <w:t xml:space="preserve"> cover </w:t>
            </w:r>
            <w:r w:rsidRPr="00336556">
              <w:t xml:space="preserve">all </w:t>
            </w:r>
            <w:r w:rsidR="00DF12A7">
              <w:t xml:space="preserve">companies’ </w:t>
            </w:r>
            <w:r w:rsidRPr="00336556">
              <w:t>relevant operated activities</w:t>
            </w:r>
            <w:r w:rsidR="00DF12A7">
              <w:t>, such as u</w:t>
            </w:r>
            <w:r w:rsidRPr="00336556">
              <w:t>pstream</w:t>
            </w:r>
            <w:r w:rsidR="00DF12A7">
              <w:t>, downstream and other activities (</w:t>
            </w:r>
            <w:proofErr w:type="gramStart"/>
            <w:r w:rsidR="00DF12A7" w:rsidRPr="00DF12A7">
              <w:t>e.g.</w:t>
            </w:r>
            <w:proofErr w:type="gramEnd"/>
            <w:r w:rsidR="00DF12A7" w:rsidRPr="00DF12A7">
              <w:t xml:space="preserve"> power generation non associated with upstream </w:t>
            </w:r>
            <w:r w:rsidR="00DF12A7">
              <w:t>n</w:t>
            </w:r>
            <w:r w:rsidR="00DF12A7" w:rsidRPr="00DF12A7">
              <w:t>or downstream activities</w:t>
            </w:r>
            <w:r w:rsidR="00DF12A7">
              <w:t>).</w:t>
            </w:r>
          </w:p>
          <w:p w14:paraId="0D80EECB" w14:textId="3400DF5A" w:rsidR="00923BD2" w:rsidRPr="00810A15" w:rsidRDefault="00725CEF" w:rsidP="002113F1">
            <w:pPr>
              <w:pStyle w:val="NoSpace"/>
            </w:pPr>
            <w:r>
              <w:t xml:space="preserve">These emissions </w:t>
            </w:r>
            <w:r w:rsidR="00417DAD">
              <w:t>should</w:t>
            </w:r>
            <w:r>
              <w:t xml:space="preserve"> include </w:t>
            </w:r>
            <w:r w:rsidR="00FF2287" w:rsidRPr="00810A15">
              <w:t xml:space="preserve">at </w:t>
            </w:r>
            <w:r w:rsidR="00FF2287" w:rsidRPr="00923BD2">
              <w:t>least</w:t>
            </w:r>
            <w:r w:rsidR="00FF2287" w:rsidRPr="00810A15">
              <w:t xml:space="preserve"> CO</w:t>
            </w:r>
            <w:r w:rsidR="00FF2287" w:rsidRPr="00810A15">
              <w:rPr>
                <w:vertAlign w:val="subscript"/>
              </w:rPr>
              <w:t>2</w:t>
            </w:r>
            <w:r>
              <w:rPr>
                <w:vertAlign w:val="subscript"/>
              </w:rPr>
              <w:t xml:space="preserve"> </w:t>
            </w:r>
            <w:r w:rsidRPr="00336556">
              <w:t>and</w:t>
            </w:r>
            <w:r>
              <w:t xml:space="preserve"> </w:t>
            </w:r>
            <w:r w:rsidR="00FF2287" w:rsidRPr="00810A15">
              <w:t>CH</w:t>
            </w:r>
            <w:r w:rsidR="00FF2287" w:rsidRPr="00810A15">
              <w:rPr>
                <w:vertAlign w:val="subscript"/>
              </w:rPr>
              <w:t>4</w:t>
            </w:r>
            <w:r>
              <w:t>.</w:t>
            </w:r>
            <w:r w:rsidR="00FF2287" w:rsidRPr="00810A15">
              <w:t xml:space="preserve"> </w:t>
            </w:r>
            <w:r>
              <w:t>I</w:t>
            </w:r>
            <w:r w:rsidR="00FF2287" w:rsidRPr="00810A15">
              <w:t>f available, N</w:t>
            </w:r>
            <w:r w:rsidR="00FF2287" w:rsidRPr="00810A15">
              <w:rPr>
                <w:vertAlign w:val="subscript"/>
              </w:rPr>
              <w:t>2</w:t>
            </w:r>
            <w:r w:rsidR="00FF2287" w:rsidRPr="00810A15">
              <w:t xml:space="preserve">O and other gases </w:t>
            </w:r>
            <w:r>
              <w:t>can be included.</w:t>
            </w:r>
          </w:p>
        </w:tc>
      </w:tr>
      <w:tr w:rsidR="00FF2287" w:rsidRPr="00810A15" w14:paraId="7FB1E19B" w14:textId="77777777" w:rsidTr="00336556">
        <w:trPr>
          <w:trHeight w:val="1531"/>
        </w:trPr>
        <w:tc>
          <w:tcPr>
            <w:tcW w:w="1843" w:type="dxa"/>
            <w:tcBorders>
              <w:top w:val="nil"/>
              <w:left w:val="single" w:sz="4" w:space="0" w:color="auto"/>
              <w:bottom w:val="single" w:sz="4" w:space="0" w:color="auto"/>
              <w:right w:val="single" w:sz="4" w:space="0" w:color="auto"/>
            </w:tcBorders>
            <w:shd w:val="clear" w:color="auto" w:fill="auto"/>
            <w:noWrap/>
            <w:hideMark/>
          </w:tcPr>
          <w:p w14:paraId="3F8EF7BF" w14:textId="77777777" w:rsidR="00FF2287" w:rsidRPr="003A4D4C" w:rsidRDefault="00FF2287" w:rsidP="00FF2287">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Methodology</w:t>
            </w:r>
          </w:p>
        </w:tc>
        <w:tc>
          <w:tcPr>
            <w:tcW w:w="8363" w:type="dxa"/>
            <w:tcBorders>
              <w:top w:val="nil"/>
              <w:left w:val="nil"/>
              <w:bottom w:val="single" w:sz="4" w:space="0" w:color="auto"/>
              <w:right w:val="single" w:sz="4" w:space="0" w:color="auto"/>
            </w:tcBorders>
            <w:shd w:val="clear" w:color="auto" w:fill="auto"/>
            <w:hideMark/>
          </w:tcPr>
          <w:p w14:paraId="4758167D" w14:textId="0E2F8428" w:rsidR="00635A7A" w:rsidRPr="00810A15" w:rsidRDefault="00635A7A" w:rsidP="00336556">
            <w:pPr>
              <w:pStyle w:val="NoSpace"/>
            </w:pPr>
            <w:r w:rsidRPr="00810A15">
              <w:t>Companies can use the same methodology approach used for their public reporting of GHG emissions in other relevant documentation (</w:t>
            </w:r>
            <w:proofErr w:type="gramStart"/>
            <w:r w:rsidRPr="00810A15">
              <w:t>e.g.</w:t>
            </w:r>
            <w:proofErr w:type="gramEnd"/>
            <w:r w:rsidRPr="00810A15">
              <w:t xml:space="preserve"> Annual Report, Sustainability Report, etc.), assuming however that the figure is </w:t>
            </w:r>
            <w:r w:rsidR="00AB0CC5">
              <w:t>based upon</w:t>
            </w:r>
            <w:r w:rsidRPr="00810A15">
              <w:t xml:space="preserve"> the operational approach.</w:t>
            </w:r>
          </w:p>
          <w:p w14:paraId="3794D5F1" w14:textId="04090E99" w:rsidR="00FF2287" w:rsidRDefault="00635A7A" w:rsidP="00356DF1">
            <w:pPr>
              <w:pStyle w:val="NoSpace"/>
            </w:pPr>
            <w:r w:rsidRPr="00810A15">
              <w:t xml:space="preserve">Companies not able </w:t>
            </w:r>
            <w:r w:rsidRPr="00356DF1">
              <w:t>to</w:t>
            </w:r>
            <w:r w:rsidRPr="00810A15">
              <w:t xml:space="preserve"> report specific data on GHG emissions can refer to the specific topic guidance (</w:t>
            </w:r>
            <w:r w:rsidR="00356DF1" w:rsidRPr="00417DAD">
              <w:t xml:space="preserve">See </w:t>
            </w:r>
            <w:r w:rsidR="00417DAD" w:rsidRPr="00417DAD">
              <w:fldChar w:fldCharType="begin"/>
            </w:r>
            <w:r w:rsidR="00417DAD" w:rsidRPr="00417DAD">
              <w:instrText xml:space="preserve"> REF _Ref19182232 \h </w:instrText>
            </w:r>
            <w:r w:rsidR="00417DAD">
              <w:instrText xml:space="preserve"> \* MERGEFORMAT </w:instrText>
            </w:r>
            <w:r w:rsidR="00417DAD" w:rsidRPr="00417DAD">
              <w:fldChar w:fldCharType="separate"/>
            </w:r>
            <w:r w:rsidR="00120F27">
              <w:rPr>
                <w:lang w:eastAsia="fr-FR"/>
              </w:rPr>
              <w:t>Appendix C – Methodologies and guidance for estimating GHG emissions</w:t>
            </w:r>
            <w:r w:rsidR="00417DAD" w:rsidRPr="00417DAD">
              <w:fldChar w:fldCharType="end"/>
            </w:r>
            <w:r w:rsidR="00417DAD" w:rsidRPr="00417DAD">
              <w:t xml:space="preserve"> </w:t>
            </w:r>
            <w:r w:rsidRPr="00810A15">
              <w:t>).</w:t>
            </w:r>
          </w:p>
          <w:p w14:paraId="3503BBAF" w14:textId="77777777" w:rsidR="006F4914" w:rsidRDefault="006F4914">
            <w:pPr>
              <w:pStyle w:val="NoSpace"/>
            </w:pPr>
            <w:r>
              <w:t xml:space="preserve">Companies </w:t>
            </w:r>
            <w:r w:rsidR="00417DAD">
              <w:t xml:space="preserve">should </w:t>
            </w:r>
            <w:r>
              <w:t>ensure that GHG.1 = GHG.11 + GHG.12 + GHG 13</w:t>
            </w:r>
          </w:p>
          <w:p w14:paraId="5C27D8B8" w14:textId="326504E5" w:rsidR="00BA21CA" w:rsidRPr="00810A15" w:rsidRDefault="00BA21CA">
            <w:pPr>
              <w:pStyle w:val="NoSpace"/>
            </w:pPr>
            <w:r>
              <w:t>Appendix B provides the Global Warming Potential of CH4 and N2O to use.</w:t>
            </w:r>
          </w:p>
        </w:tc>
      </w:tr>
      <w:tr w:rsidR="00FF2287" w:rsidRPr="00810A15" w14:paraId="78567292" w14:textId="77777777" w:rsidTr="00336556">
        <w:trPr>
          <w:trHeight w:val="567"/>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629048C" w14:textId="6C17211A" w:rsidR="00FF2287" w:rsidRPr="003A4D4C" w:rsidRDefault="00FF2287" w:rsidP="00FF2287">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lastRenderedPageBreak/>
              <w:t xml:space="preserve">Unit </w:t>
            </w:r>
          </w:p>
        </w:tc>
        <w:tc>
          <w:tcPr>
            <w:tcW w:w="8363" w:type="dxa"/>
            <w:tcBorders>
              <w:top w:val="single" w:sz="4" w:space="0" w:color="auto"/>
              <w:left w:val="nil"/>
              <w:bottom w:val="single" w:sz="4" w:space="0" w:color="auto"/>
              <w:right w:val="single" w:sz="4" w:space="0" w:color="auto"/>
            </w:tcBorders>
            <w:shd w:val="clear" w:color="auto" w:fill="auto"/>
            <w:hideMark/>
          </w:tcPr>
          <w:p w14:paraId="4EA057D5" w14:textId="0D5CC80F" w:rsidR="00FF2287" w:rsidRPr="00810A15" w:rsidRDefault="00DA766B" w:rsidP="00FF2287">
            <w:pPr>
              <w:pStyle w:val="NoSpace"/>
              <w:jc w:val="left"/>
            </w:pPr>
            <w:r w:rsidRPr="00AB5385">
              <w:t xml:space="preserve">Companies </w:t>
            </w:r>
            <w:r w:rsidR="00417DAD">
              <w:t>should</w:t>
            </w:r>
            <w:r w:rsidR="00AB5385" w:rsidRPr="00AB5385">
              <w:t xml:space="preserve"> </w:t>
            </w:r>
            <w:r w:rsidRPr="00AB5385">
              <w:t>report in tonnes of CO</w:t>
            </w:r>
            <w:r w:rsidRPr="00AB5385">
              <w:rPr>
                <w:vertAlign w:val="subscript"/>
              </w:rPr>
              <w:t>2</w:t>
            </w:r>
            <w:r w:rsidRPr="00AB5385">
              <w:t xml:space="preserve"> equivalent</w:t>
            </w:r>
            <w:r w:rsidRPr="00810A15">
              <w:t xml:space="preserve"> [tCO</w:t>
            </w:r>
            <w:r w:rsidRPr="00810A15">
              <w:rPr>
                <w:vertAlign w:val="subscript"/>
              </w:rPr>
              <w:t>2eq</w:t>
            </w:r>
            <w:r w:rsidRPr="00810A15">
              <w:t>]</w:t>
            </w:r>
            <w:r w:rsidR="00AB5385">
              <w:t xml:space="preserve"> (See </w:t>
            </w:r>
            <w:r w:rsidR="00AB5385">
              <w:fldChar w:fldCharType="begin"/>
            </w:r>
            <w:r w:rsidR="00AB5385">
              <w:instrText xml:space="preserve"> REF _Ref19181280 \h </w:instrText>
            </w:r>
            <w:r w:rsidR="00AB5385">
              <w:fldChar w:fldCharType="separate"/>
            </w:r>
            <w:r w:rsidR="00120F27">
              <w:rPr>
                <w:lang w:eastAsia="fr-FR"/>
              </w:rPr>
              <w:t>Appendix B – Calculation and conversion factors</w:t>
            </w:r>
            <w:r w:rsidR="00AB5385">
              <w:fldChar w:fldCharType="end"/>
            </w:r>
            <w:r w:rsidR="00AB5385">
              <w:t xml:space="preserve"> ).</w:t>
            </w:r>
          </w:p>
        </w:tc>
      </w:tr>
      <w:tr w:rsidR="00FF2287" w:rsidRPr="00810A15" w14:paraId="413C7E3E" w14:textId="77777777" w:rsidTr="00336556">
        <w:trPr>
          <w:trHeight w:val="567"/>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7765655" w14:textId="77777777" w:rsidR="00FF2287" w:rsidRPr="003A4D4C" w:rsidRDefault="00FF2287" w:rsidP="00FF2287">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External references</w:t>
            </w:r>
          </w:p>
        </w:tc>
        <w:tc>
          <w:tcPr>
            <w:tcW w:w="8363" w:type="dxa"/>
            <w:tcBorders>
              <w:top w:val="single" w:sz="4" w:space="0" w:color="auto"/>
              <w:left w:val="nil"/>
              <w:bottom w:val="single" w:sz="4" w:space="0" w:color="auto"/>
              <w:right w:val="single" w:sz="4" w:space="0" w:color="auto"/>
            </w:tcBorders>
            <w:shd w:val="clear" w:color="auto" w:fill="auto"/>
          </w:tcPr>
          <w:p w14:paraId="160CA16B" w14:textId="77777777" w:rsidR="00DA766B" w:rsidRPr="00810A15" w:rsidRDefault="00DA766B" w:rsidP="0035559C">
            <w:pPr>
              <w:pStyle w:val="NoSpace"/>
              <w:numPr>
                <w:ilvl w:val="0"/>
                <w:numId w:val="14"/>
              </w:numPr>
            </w:pPr>
            <w:r w:rsidRPr="00810A15">
              <w:t>IPIECA O&amp;G industry guidance on voluntary sustainability reporting 2015: indicator E1</w:t>
            </w:r>
          </w:p>
          <w:p w14:paraId="01DAC822" w14:textId="7D993A3E" w:rsidR="00FF2287" w:rsidRPr="00810A15" w:rsidRDefault="00DA766B" w:rsidP="0035559C">
            <w:pPr>
              <w:pStyle w:val="NoSpace"/>
              <w:numPr>
                <w:ilvl w:val="0"/>
                <w:numId w:val="14"/>
              </w:numPr>
            </w:pPr>
            <w:r w:rsidRPr="00810A15">
              <w:t>IPIECA Climate Change Reporting Framework 2015: Topic 9</w:t>
            </w:r>
          </w:p>
        </w:tc>
      </w:tr>
    </w:tbl>
    <w:p w14:paraId="4A0BBBAF" w14:textId="3F2C075C" w:rsidR="00FF2287" w:rsidRDefault="00FF2287" w:rsidP="00F005BE">
      <w:pPr>
        <w:pStyle w:val="NoSpace"/>
      </w:pPr>
    </w:p>
    <w:tbl>
      <w:tblPr>
        <w:tblW w:w="10206" w:type="dxa"/>
        <w:tblInd w:w="-5" w:type="dxa"/>
        <w:tblCellMar>
          <w:left w:w="70" w:type="dxa"/>
          <w:right w:w="70" w:type="dxa"/>
        </w:tblCellMar>
        <w:tblLook w:val="04A0" w:firstRow="1" w:lastRow="0" w:firstColumn="1" w:lastColumn="0" w:noHBand="0" w:noVBand="1"/>
      </w:tblPr>
      <w:tblGrid>
        <w:gridCol w:w="1843"/>
        <w:gridCol w:w="8363"/>
      </w:tblGrid>
      <w:tr w:rsidR="0079521D" w:rsidRPr="00810A15" w14:paraId="619973C1" w14:textId="77777777" w:rsidTr="00F005BE">
        <w:trPr>
          <w:trHeight w:val="340"/>
        </w:trPr>
        <w:tc>
          <w:tcPr>
            <w:tcW w:w="1843" w:type="dxa"/>
            <w:tcBorders>
              <w:top w:val="single" w:sz="4" w:space="0" w:color="auto"/>
              <w:left w:val="single" w:sz="4" w:space="0" w:color="auto"/>
              <w:bottom w:val="double" w:sz="6" w:space="0" w:color="auto"/>
              <w:right w:val="single" w:sz="4" w:space="0" w:color="auto"/>
            </w:tcBorders>
            <w:shd w:val="clear" w:color="auto" w:fill="4F81BD" w:themeFill="accent1"/>
            <w:noWrap/>
            <w:vAlign w:val="center"/>
            <w:hideMark/>
          </w:tcPr>
          <w:p w14:paraId="47332965" w14:textId="219232DD" w:rsidR="0079521D" w:rsidRPr="003A4D4C" w:rsidRDefault="0079521D" w:rsidP="00581355">
            <w:pPr>
              <w:spacing w:after="0"/>
              <w:jc w:val="center"/>
              <w:rPr>
                <w:rFonts w:ascii="Calibri" w:eastAsia="Times New Roman" w:hAnsi="Calibri" w:cs="Times New Roman"/>
                <w:b/>
                <w:bCs/>
                <w:color w:val="FFFFFF" w:themeColor="background1"/>
                <w:lang w:eastAsia="it-IT"/>
              </w:rPr>
            </w:pPr>
            <w:r>
              <w:rPr>
                <w:rFonts w:ascii="Calibri" w:eastAsia="Times New Roman" w:hAnsi="Calibri" w:cs="Times New Roman"/>
                <w:b/>
                <w:bCs/>
                <w:color w:val="FFFFFF" w:themeColor="background1"/>
                <w:lang w:eastAsia="it-IT"/>
              </w:rPr>
              <w:t>GHG.11</w:t>
            </w:r>
          </w:p>
        </w:tc>
        <w:tc>
          <w:tcPr>
            <w:tcW w:w="8363" w:type="dxa"/>
            <w:tcBorders>
              <w:top w:val="single" w:sz="4" w:space="0" w:color="auto"/>
              <w:left w:val="nil"/>
              <w:bottom w:val="double" w:sz="6" w:space="0" w:color="auto"/>
              <w:right w:val="single" w:sz="4" w:space="0" w:color="auto"/>
            </w:tcBorders>
            <w:shd w:val="clear" w:color="auto" w:fill="4F81BD" w:themeFill="accent1"/>
            <w:vAlign w:val="center"/>
            <w:hideMark/>
          </w:tcPr>
          <w:p w14:paraId="10C7F1F1" w14:textId="19940BBA" w:rsidR="0079521D" w:rsidRPr="003A4D4C" w:rsidRDefault="0079521D" w:rsidP="00581355">
            <w:pPr>
              <w:spacing w:after="0"/>
              <w:rPr>
                <w:rFonts w:ascii="Calibri" w:eastAsia="Times New Roman" w:hAnsi="Calibri" w:cs="Times New Roman"/>
                <w:b/>
                <w:bCs/>
                <w:color w:val="FFFFFF" w:themeColor="background1"/>
                <w:lang w:eastAsia="it-IT"/>
              </w:rPr>
            </w:pPr>
            <w:r>
              <w:rPr>
                <w:b/>
                <w:bCs/>
                <w:color w:val="FFFFFF" w:themeColor="background1"/>
              </w:rPr>
              <w:t>Total operated GHG emissions Scope 1 - Upstream</w:t>
            </w:r>
          </w:p>
        </w:tc>
      </w:tr>
      <w:tr w:rsidR="0079521D" w:rsidRPr="00810A15" w14:paraId="0CFEF05B" w14:textId="77777777" w:rsidTr="00581355">
        <w:trPr>
          <w:trHeight w:val="567"/>
        </w:trPr>
        <w:tc>
          <w:tcPr>
            <w:tcW w:w="1843" w:type="dxa"/>
            <w:tcBorders>
              <w:top w:val="nil"/>
              <w:left w:val="single" w:sz="4" w:space="0" w:color="auto"/>
              <w:bottom w:val="single" w:sz="4" w:space="0" w:color="auto"/>
              <w:right w:val="single" w:sz="4" w:space="0" w:color="auto"/>
            </w:tcBorders>
            <w:shd w:val="clear" w:color="auto" w:fill="auto"/>
            <w:hideMark/>
          </w:tcPr>
          <w:p w14:paraId="56FA9EB6" w14:textId="77777777" w:rsidR="0079521D" w:rsidRPr="003A4D4C" w:rsidRDefault="0079521D" w:rsidP="0058135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Definition and Boundary</w:t>
            </w:r>
          </w:p>
        </w:tc>
        <w:tc>
          <w:tcPr>
            <w:tcW w:w="8363" w:type="dxa"/>
            <w:tcBorders>
              <w:top w:val="nil"/>
              <w:left w:val="nil"/>
              <w:bottom w:val="single" w:sz="4" w:space="0" w:color="auto"/>
              <w:right w:val="single" w:sz="4" w:space="0" w:color="auto"/>
            </w:tcBorders>
            <w:shd w:val="clear" w:color="auto" w:fill="auto"/>
            <w:hideMark/>
          </w:tcPr>
          <w:p w14:paraId="198D89AB" w14:textId="303CAFA4" w:rsidR="0079521D" w:rsidRDefault="003227FA" w:rsidP="00581355">
            <w:pPr>
              <w:pStyle w:val="NoSpace"/>
            </w:pPr>
            <w:r>
              <w:t>This indicator covers operated GHG emissions Scope 1 of Upstream activities</w:t>
            </w:r>
            <w:r w:rsidR="00AB1492">
              <w:t xml:space="preserve"> (</w:t>
            </w:r>
            <w:r w:rsidR="00AB1492">
              <w:rPr>
                <w:lang w:eastAsia="fr-FR"/>
              </w:rPr>
              <w:t>Section “</w:t>
            </w:r>
            <w:r w:rsidR="00AB1492">
              <w:rPr>
                <w:lang w:eastAsia="fr-FR"/>
              </w:rPr>
              <w:fldChar w:fldCharType="begin"/>
            </w:r>
            <w:r w:rsidR="00AB1492">
              <w:rPr>
                <w:lang w:eastAsia="fr-FR"/>
              </w:rPr>
              <w:instrText xml:space="preserve"> REF _Ref18401014 \h </w:instrText>
            </w:r>
            <w:r w:rsidR="00AB1492">
              <w:rPr>
                <w:lang w:eastAsia="fr-FR"/>
              </w:rPr>
            </w:r>
            <w:r w:rsidR="00AB1492">
              <w:rPr>
                <w:lang w:eastAsia="fr-FR"/>
              </w:rPr>
              <w:fldChar w:fldCharType="separate"/>
            </w:r>
            <w:r w:rsidR="00120F27">
              <w:t>Definitions</w:t>
            </w:r>
            <w:r w:rsidR="00AB1492">
              <w:rPr>
                <w:lang w:eastAsia="fr-FR"/>
              </w:rPr>
              <w:fldChar w:fldCharType="end"/>
            </w:r>
            <w:r w:rsidR="00AB1492">
              <w:rPr>
                <w:lang w:eastAsia="fr-FR"/>
              </w:rPr>
              <w:t>”).</w:t>
            </w:r>
          </w:p>
          <w:p w14:paraId="71F2DC6B" w14:textId="20854ADA" w:rsidR="00923BD2" w:rsidRPr="00810A15" w:rsidRDefault="003227FA" w:rsidP="002113F1">
            <w:pPr>
              <w:pStyle w:val="NoSpace"/>
            </w:pPr>
            <w:r>
              <w:t xml:space="preserve">These emissions </w:t>
            </w:r>
            <w:r w:rsidR="00417DAD">
              <w:t>should</w:t>
            </w:r>
            <w:r>
              <w:t xml:space="preserve"> include </w:t>
            </w:r>
            <w:r w:rsidRPr="00810A15">
              <w:t>at least CO</w:t>
            </w:r>
            <w:r w:rsidRPr="00810A15">
              <w:rPr>
                <w:vertAlign w:val="subscript"/>
              </w:rPr>
              <w:t>2</w:t>
            </w:r>
            <w:r>
              <w:rPr>
                <w:vertAlign w:val="subscript"/>
              </w:rPr>
              <w:t xml:space="preserve"> </w:t>
            </w:r>
            <w:r w:rsidRPr="003A4D4C">
              <w:t>and</w:t>
            </w:r>
            <w:r>
              <w:t xml:space="preserve"> </w:t>
            </w:r>
            <w:r w:rsidRPr="00810A15">
              <w:t>CH</w:t>
            </w:r>
            <w:r w:rsidRPr="00810A15">
              <w:rPr>
                <w:vertAlign w:val="subscript"/>
              </w:rPr>
              <w:t>4</w:t>
            </w:r>
            <w:r>
              <w:t>.</w:t>
            </w:r>
            <w:r w:rsidRPr="00810A15">
              <w:t xml:space="preserve"> </w:t>
            </w:r>
            <w:r>
              <w:t>I</w:t>
            </w:r>
            <w:r w:rsidRPr="00810A15">
              <w:t>f available, N</w:t>
            </w:r>
            <w:r w:rsidRPr="00810A15">
              <w:rPr>
                <w:vertAlign w:val="subscript"/>
              </w:rPr>
              <w:t>2</w:t>
            </w:r>
            <w:r w:rsidRPr="00810A15">
              <w:t xml:space="preserve">O and other gases </w:t>
            </w:r>
            <w:r>
              <w:t>can be included.</w:t>
            </w:r>
          </w:p>
        </w:tc>
      </w:tr>
      <w:tr w:rsidR="0079521D" w:rsidRPr="00810A15" w14:paraId="236007F7" w14:textId="77777777" w:rsidTr="00F005BE">
        <w:trPr>
          <w:trHeight w:val="340"/>
        </w:trPr>
        <w:tc>
          <w:tcPr>
            <w:tcW w:w="1843" w:type="dxa"/>
            <w:tcBorders>
              <w:top w:val="nil"/>
              <w:left w:val="single" w:sz="4" w:space="0" w:color="auto"/>
              <w:bottom w:val="single" w:sz="4" w:space="0" w:color="auto"/>
              <w:right w:val="single" w:sz="4" w:space="0" w:color="auto"/>
            </w:tcBorders>
            <w:shd w:val="clear" w:color="auto" w:fill="auto"/>
            <w:noWrap/>
            <w:hideMark/>
          </w:tcPr>
          <w:p w14:paraId="2B5793B9" w14:textId="77777777" w:rsidR="0079521D" w:rsidRPr="003A4D4C" w:rsidRDefault="0079521D" w:rsidP="0058135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Methodology</w:t>
            </w:r>
          </w:p>
        </w:tc>
        <w:tc>
          <w:tcPr>
            <w:tcW w:w="8363" w:type="dxa"/>
            <w:tcBorders>
              <w:top w:val="nil"/>
              <w:left w:val="nil"/>
              <w:bottom w:val="single" w:sz="4" w:space="0" w:color="auto"/>
              <w:right w:val="single" w:sz="4" w:space="0" w:color="auto"/>
            </w:tcBorders>
            <w:shd w:val="clear" w:color="auto" w:fill="auto"/>
            <w:hideMark/>
          </w:tcPr>
          <w:p w14:paraId="59802032" w14:textId="1387BAD2" w:rsidR="0079521D" w:rsidRPr="00810A15" w:rsidRDefault="005505F9" w:rsidP="00581355">
            <w:pPr>
              <w:pStyle w:val="NoSpace"/>
            </w:pPr>
            <w:r>
              <w:t xml:space="preserve">Same as </w:t>
            </w:r>
            <w:r w:rsidR="00352248">
              <w:t>GHG.1</w:t>
            </w:r>
          </w:p>
        </w:tc>
      </w:tr>
      <w:tr w:rsidR="00417DAD" w:rsidRPr="00810A15" w14:paraId="341F96CF" w14:textId="77777777" w:rsidTr="00F005BE">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61E547D" w14:textId="2A7FE4DF" w:rsidR="00417DAD" w:rsidRPr="003A4D4C" w:rsidRDefault="00417DAD" w:rsidP="00417DAD">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 xml:space="preserve">Unit </w:t>
            </w:r>
          </w:p>
        </w:tc>
        <w:tc>
          <w:tcPr>
            <w:tcW w:w="8363" w:type="dxa"/>
            <w:tcBorders>
              <w:top w:val="single" w:sz="4" w:space="0" w:color="auto"/>
              <w:left w:val="nil"/>
              <w:bottom w:val="single" w:sz="4" w:space="0" w:color="auto"/>
              <w:right w:val="single" w:sz="4" w:space="0" w:color="auto"/>
            </w:tcBorders>
            <w:shd w:val="clear" w:color="auto" w:fill="auto"/>
            <w:hideMark/>
          </w:tcPr>
          <w:p w14:paraId="449C1D5F" w14:textId="30D1C1A5" w:rsidR="00417DAD" w:rsidRPr="00810A15" w:rsidRDefault="00417DAD" w:rsidP="00417DAD">
            <w:pPr>
              <w:pStyle w:val="NoSpace"/>
              <w:jc w:val="left"/>
            </w:pPr>
            <w:r>
              <w:t>Same as GHG.1</w:t>
            </w:r>
          </w:p>
        </w:tc>
      </w:tr>
      <w:tr w:rsidR="005505F9" w:rsidRPr="00810A15" w14:paraId="7BE2B51B" w14:textId="77777777" w:rsidTr="00F005BE">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AE9601C" w14:textId="77777777" w:rsidR="005505F9" w:rsidRPr="003A4D4C" w:rsidRDefault="005505F9" w:rsidP="005505F9">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External references</w:t>
            </w:r>
          </w:p>
        </w:tc>
        <w:tc>
          <w:tcPr>
            <w:tcW w:w="8363" w:type="dxa"/>
            <w:tcBorders>
              <w:top w:val="single" w:sz="4" w:space="0" w:color="auto"/>
              <w:left w:val="nil"/>
              <w:bottom w:val="single" w:sz="4" w:space="0" w:color="auto"/>
              <w:right w:val="single" w:sz="4" w:space="0" w:color="auto"/>
            </w:tcBorders>
            <w:shd w:val="clear" w:color="auto" w:fill="auto"/>
          </w:tcPr>
          <w:p w14:paraId="267BF13F" w14:textId="25B0A971" w:rsidR="005505F9" w:rsidRPr="00810A15" w:rsidRDefault="005505F9" w:rsidP="00336556">
            <w:pPr>
              <w:pStyle w:val="NoSpace"/>
            </w:pPr>
            <w:r>
              <w:t>Same as GHG.1</w:t>
            </w:r>
          </w:p>
        </w:tc>
      </w:tr>
    </w:tbl>
    <w:p w14:paraId="7CF470FE" w14:textId="084E5438" w:rsidR="00036478" w:rsidRDefault="00036478" w:rsidP="00F005BE">
      <w:pPr>
        <w:pStyle w:val="NoSpace"/>
      </w:pPr>
    </w:p>
    <w:p w14:paraId="68CE7CBC" w14:textId="77777777" w:rsidR="00915D78" w:rsidRDefault="00915D78" w:rsidP="00F005BE">
      <w:pPr>
        <w:pStyle w:val="NoSpace"/>
      </w:pPr>
    </w:p>
    <w:tbl>
      <w:tblPr>
        <w:tblW w:w="10206" w:type="dxa"/>
        <w:tblInd w:w="-5" w:type="dxa"/>
        <w:tblCellMar>
          <w:left w:w="70" w:type="dxa"/>
          <w:right w:w="70" w:type="dxa"/>
        </w:tblCellMar>
        <w:tblLook w:val="04A0" w:firstRow="1" w:lastRow="0" w:firstColumn="1" w:lastColumn="0" w:noHBand="0" w:noVBand="1"/>
      </w:tblPr>
      <w:tblGrid>
        <w:gridCol w:w="1843"/>
        <w:gridCol w:w="8363"/>
      </w:tblGrid>
      <w:tr w:rsidR="00036478" w:rsidRPr="00810A15" w14:paraId="3F66B5C9" w14:textId="77777777" w:rsidTr="00F005BE">
        <w:trPr>
          <w:trHeight w:val="340"/>
        </w:trPr>
        <w:tc>
          <w:tcPr>
            <w:tcW w:w="1843" w:type="dxa"/>
            <w:tcBorders>
              <w:top w:val="single" w:sz="4" w:space="0" w:color="auto"/>
              <w:left w:val="single" w:sz="4" w:space="0" w:color="auto"/>
              <w:bottom w:val="double" w:sz="6" w:space="0" w:color="auto"/>
              <w:right w:val="single" w:sz="4" w:space="0" w:color="auto"/>
            </w:tcBorders>
            <w:shd w:val="clear" w:color="auto" w:fill="4F81BD" w:themeFill="accent1"/>
            <w:noWrap/>
            <w:vAlign w:val="center"/>
            <w:hideMark/>
          </w:tcPr>
          <w:p w14:paraId="489FC678" w14:textId="3291F19E" w:rsidR="00036478" w:rsidRPr="003A4D4C" w:rsidRDefault="00036478" w:rsidP="00581355">
            <w:pPr>
              <w:spacing w:after="0"/>
              <w:jc w:val="center"/>
              <w:rPr>
                <w:rFonts w:ascii="Calibri" w:eastAsia="Times New Roman" w:hAnsi="Calibri" w:cs="Times New Roman"/>
                <w:b/>
                <w:bCs/>
                <w:color w:val="FFFFFF" w:themeColor="background1"/>
                <w:lang w:eastAsia="it-IT"/>
              </w:rPr>
            </w:pPr>
            <w:r>
              <w:rPr>
                <w:rFonts w:ascii="Calibri" w:eastAsia="Times New Roman" w:hAnsi="Calibri" w:cs="Times New Roman"/>
                <w:b/>
                <w:bCs/>
                <w:color w:val="FFFFFF" w:themeColor="background1"/>
                <w:lang w:eastAsia="it-IT"/>
              </w:rPr>
              <w:t>GHG.21</w:t>
            </w:r>
          </w:p>
        </w:tc>
        <w:tc>
          <w:tcPr>
            <w:tcW w:w="8363" w:type="dxa"/>
            <w:tcBorders>
              <w:top w:val="single" w:sz="4" w:space="0" w:color="auto"/>
              <w:left w:val="nil"/>
              <w:bottom w:val="double" w:sz="6" w:space="0" w:color="auto"/>
              <w:right w:val="single" w:sz="4" w:space="0" w:color="auto"/>
            </w:tcBorders>
            <w:shd w:val="clear" w:color="auto" w:fill="4F81BD" w:themeFill="accent1"/>
            <w:vAlign w:val="center"/>
            <w:hideMark/>
          </w:tcPr>
          <w:p w14:paraId="348DCFB9" w14:textId="4C2A3861" w:rsidR="00036478" w:rsidRPr="003A4D4C" w:rsidRDefault="00036478" w:rsidP="00581355">
            <w:pPr>
              <w:spacing w:after="0"/>
              <w:rPr>
                <w:rFonts w:ascii="Calibri" w:eastAsia="Times New Roman" w:hAnsi="Calibri" w:cs="Times New Roman"/>
                <w:b/>
                <w:bCs/>
                <w:color w:val="FFFFFF" w:themeColor="background1"/>
                <w:lang w:eastAsia="it-IT"/>
              </w:rPr>
            </w:pPr>
            <w:r>
              <w:rPr>
                <w:b/>
                <w:bCs/>
                <w:color w:val="FFFFFF" w:themeColor="background1"/>
              </w:rPr>
              <w:t xml:space="preserve">Total operated GHG emissions Scope 2 </w:t>
            </w:r>
            <w:r w:rsidR="00FB1040">
              <w:rPr>
                <w:b/>
                <w:bCs/>
                <w:color w:val="FFFFFF" w:themeColor="background1"/>
              </w:rPr>
              <w:t>–</w:t>
            </w:r>
            <w:r>
              <w:rPr>
                <w:b/>
                <w:bCs/>
                <w:color w:val="FFFFFF" w:themeColor="background1"/>
              </w:rPr>
              <w:t xml:space="preserve"> Upstream</w:t>
            </w:r>
          </w:p>
        </w:tc>
      </w:tr>
      <w:tr w:rsidR="0084318B" w:rsidRPr="00810A15" w14:paraId="0614436E" w14:textId="77777777" w:rsidTr="00581355">
        <w:trPr>
          <w:trHeight w:val="567"/>
        </w:trPr>
        <w:tc>
          <w:tcPr>
            <w:tcW w:w="1843" w:type="dxa"/>
            <w:tcBorders>
              <w:top w:val="nil"/>
              <w:left w:val="single" w:sz="4" w:space="0" w:color="auto"/>
              <w:bottom w:val="single" w:sz="4" w:space="0" w:color="auto"/>
              <w:right w:val="single" w:sz="4" w:space="0" w:color="auto"/>
            </w:tcBorders>
            <w:shd w:val="clear" w:color="auto" w:fill="auto"/>
            <w:hideMark/>
          </w:tcPr>
          <w:p w14:paraId="6258C818" w14:textId="77777777" w:rsidR="0084318B" w:rsidRPr="003A4D4C" w:rsidRDefault="0084318B" w:rsidP="0084318B">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Definition and Boundary</w:t>
            </w:r>
          </w:p>
        </w:tc>
        <w:tc>
          <w:tcPr>
            <w:tcW w:w="8363" w:type="dxa"/>
            <w:tcBorders>
              <w:top w:val="nil"/>
              <w:left w:val="nil"/>
              <w:bottom w:val="single" w:sz="4" w:space="0" w:color="auto"/>
              <w:right w:val="single" w:sz="4" w:space="0" w:color="auto"/>
            </w:tcBorders>
            <w:shd w:val="clear" w:color="auto" w:fill="auto"/>
            <w:hideMark/>
          </w:tcPr>
          <w:p w14:paraId="446669F0" w14:textId="0A59952E" w:rsidR="0084318B" w:rsidRDefault="0084318B" w:rsidP="0084318B">
            <w:pPr>
              <w:pStyle w:val="NoSpace"/>
            </w:pPr>
            <w:r>
              <w:t>Each company provides its own operated</w:t>
            </w:r>
            <w:r w:rsidRPr="00165395">
              <w:t xml:space="preserve"> </w:t>
            </w:r>
            <w:r>
              <w:t xml:space="preserve">GHG emissions </w:t>
            </w:r>
            <w:r w:rsidRPr="004849CA">
              <w:t xml:space="preserve">from </w:t>
            </w:r>
            <w:r>
              <w:t>imported</w:t>
            </w:r>
            <w:r w:rsidRPr="004849CA">
              <w:t xml:space="preserve"> electricity, steam, </w:t>
            </w:r>
            <w:proofErr w:type="gramStart"/>
            <w:r w:rsidRPr="004849CA">
              <w:t>heat</w:t>
            </w:r>
            <w:proofErr w:type="gramEnd"/>
            <w:r w:rsidRPr="004849CA">
              <w:t xml:space="preserve"> and cooling</w:t>
            </w:r>
            <w:r>
              <w:t xml:space="preserve"> </w:t>
            </w:r>
            <w:r w:rsidR="00235309">
              <w:t xml:space="preserve">consumed </w:t>
            </w:r>
            <w:r w:rsidRPr="00165395">
              <w:t>along the reporting year</w:t>
            </w:r>
            <w:r>
              <w:t>.</w:t>
            </w:r>
          </w:p>
          <w:p w14:paraId="5E1C7DD5" w14:textId="349547CA" w:rsidR="0084318B" w:rsidRPr="00810A15" w:rsidRDefault="0084318B" w:rsidP="002113F1">
            <w:pPr>
              <w:pStyle w:val="NoSpace"/>
            </w:pPr>
            <w:r>
              <w:t>These</w:t>
            </w:r>
            <w:r w:rsidRPr="003A4D4C">
              <w:t xml:space="preserve"> GHG emissions </w:t>
            </w:r>
            <w:r>
              <w:t xml:space="preserve">should cover </w:t>
            </w:r>
            <w:r w:rsidRPr="003A4D4C">
              <w:t xml:space="preserve">all </w:t>
            </w:r>
            <w:r>
              <w:t xml:space="preserve">companies’ </w:t>
            </w:r>
            <w:r w:rsidRPr="003A4D4C">
              <w:t xml:space="preserve">relevant operated </w:t>
            </w:r>
            <w:r w:rsidR="00C05775">
              <w:t xml:space="preserve">upstream </w:t>
            </w:r>
            <w:r w:rsidRPr="003A4D4C">
              <w:t>activities</w:t>
            </w:r>
            <w:r>
              <w:t>.</w:t>
            </w:r>
          </w:p>
        </w:tc>
      </w:tr>
      <w:tr w:rsidR="0074443D" w:rsidRPr="00810A15" w14:paraId="54A38882" w14:textId="77777777" w:rsidTr="00F005BE">
        <w:trPr>
          <w:trHeight w:val="340"/>
        </w:trPr>
        <w:tc>
          <w:tcPr>
            <w:tcW w:w="1843" w:type="dxa"/>
            <w:tcBorders>
              <w:top w:val="nil"/>
              <w:left w:val="single" w:sz="4" w:space="0" w:color="auto"/>
              <w:bottom w:val="single" w:sz="4" w:space="0" w:color="auto"/>
              <w:right w:val="single" w:sz="4" w:space="0" w:color="auto"/>
            </w:tcBorders>
            <w:shd w:val="clear" w:color="auto" w:fill="auto"/>
            <w:noWrap/>
            <w:hideMark/>
          </w:tcPr>
          <w:p w14:paraId="526B7E6B" w14:textId="77777777" w:rsidR="0074443D" w:rsidRPr="003A4D4C" w:rsidRDefault="0074443D" w:rsidP="0074443D">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Methodology</w:t>
            </w:r>
          </w:p>
        </w:tc>
        <w:tc>
          <w:tcPr>
            <w:tcW w:w="8363" w:type="dxa"/>
            <w:tcBorders>
              <w:top w:val="nil"/>
              <w:left w:val="nil"/>
              <w:bottom w:val="single" w:sz="4" w:space="0" w:color="auto"/>
              <w:right w:val="single" w:sz="4" w:space="0" w:color="auto"/>
            </w:tcBorders>
            <w:shd w:val="clear" w:color="auto" w:fill="auto"/>
            <w:hideMark/>
          </w:tcPr>
          <w:p w14:paraId="00DDB634" w14:textId="090175E8" w:rsidR="0074443D" w:rsidRPr="00810A15" w:rsidRDefault="0074443D" w:rsidP="002113F1">
            <w:pPr>
              <w:pStyle w:val="NoSpace"/>
            </w:pPr>
            <w:r>
              <w:t>Same as GHG.2</w:t>
            </w:r>
          </w:p>
        </w:tc>
      </w:tr>
      <w:tr w:rsidR="0074443D" w:rsidRPr="00810A15" w14:paraId="30BB7FEB" w14:textId="77777777" w:rsidTr="00F005BE">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0B8D618" w14:textId="0B08A3D0" w:rsidR="0074443D" w:rsidRPr="003A4D4C" w:rsidRDefault="0074443D" w:rsidP="0074443D">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 xml:space="preserve">Unit </w:t>
            </w:r>
          </w:p>
        </w:tc>
        <w:tc>
          <w:tcPr>
            <w:tcW w:w="8363" w:type="dxa"/>
            <w:tcBorders>
              <w:top w:val="single" w:sz="4" w:space="0" w:color="auto"/>
              <w:left w:val="nil"/>
              <w:bottom w:val="single" w:sz="4" w:space="0" w:color="auto"/>
              <w:right w:val="single" w:sz="4" w:space="0" w:color="auto"/>
            </w:tcBorders>
            <w:shd w:val="clear" w:color="auto" w:fill="auto"/>
            <w:hideMark/>
          </w:tcPr>
          <w:p w14:paraId="6DFA271D" w14:textId="3F823002" w:rsidR="0074443D" w:rsidRPr="00810A15" w:rsidRDefault="0074443D" w:rsidP="0074443D">
            <w:pPr>
              <w:pStyle w:val="NoSpace"/>
              <w:jc w:val="left"/>
            </w:pPr>
            <w:r>
              <w:t>Same as GHG.2</w:t>
            </w:r>
          </w:p>
        </w:tc>
      </w:tr>
      <w:tr w:rsidR="0074443D" w:rsidRPr="00810A15" w14:paraId="11557BF4" w14:textId="77777777" w:rsidTr="00F005BE">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42721EE" w14:textId="77777777" w:rsidR="0074443D" w:rsidRPr="003A4D4C" w:rsidRDefault="0074443D" w:rsidP="0074443D">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External references</w:t>
            </w:r>
          </w:p>
        </w:tc>
        <w:tc>
          <w:tcPr>
            <w:tcW w:w="8363" w:type="dxa"/>
            <w:tcBorders>
              <w:top w:val="single" w:sz="4" w:space="0" w:color="auto"/>
              <w:left w:val="nil"/>
              <w:bottom w:val="single" w:sz="4" w:space="0" w:color="auto"/>
              <w:right w:val="single" w:sz="4" w:space="0" w:color="auto"/>
            </w:tcBorders>
            <w:shd w:val="clear" w:color="auto" w:fill="auto"/>
          </w:tcPr>
          <w:p w14:paraId="0C4D6CD9" w14:textId="00789F90" w:rsidR="0074443D" w:rsidRPr="00810A15" w:rsidRDefault="0074443D" w:rsidP="0074443D">
            <w:pPr>
              <w:pStyle w:val="NoSpace"/>
            </w:pPr>
            <w:r>
              <w:t>Same as GHG.2</w:t>
            </w:r>
          </w:p>
        </w:tc>
      </w:tr>
    </w:tbl>
    <w:p w14:paraId="33BAA23D" w14:textId="77777777" w:rsidR="00BF307E" w:rsidRDefault="00BF307E" w:rsidP="00A86003">
      <w:pPr>
        <w:pStyle w:val="NoSpace"/>
      </w:pPr>
    </w:p>
    <w:p w14:paraId="71C26CB6" w14:textId="77777777" w:rsidR="00915D78" w:rsidRDefault="00915D78" w:rsidP="00272D6D">
      <w:pPr>
        <w:spacing w:after="0"/>
      </w:pPr>
    </w:p>
    <w:tbl>
      <w:tblPr>
        <w:tblW w:w="10206" w:type="dxa"/>
        <w:tblInd w:w="-5" w:type="dxa"/>
        <w:tblCellMar>
          <w:left w:w="70" w:type="dxa"/>
          <w:right w:w="70" w:type="dxa"/>
        </w:tblCellMar>
        <w:tblLook w:val="04A0" w:firstRow="1" w:lastRow="0" w:firstColumn="1" w:lastColumn="0" w:noHBand="0" w:noVBand="1"/>
      </w:tblPr>
      <w:tblGrid>
        <w:gridCol w:w="1843"/>
        <w:gridCol w:w="8363"/>
      </w:tblGrid>
      <w:tr w:rsidR="00E30971" w:rsidRPr="00810A15" w14:paraId="7AEF87DA" w14:textId="77777777" w:rsidTr="008514E5">
        <w:trPr>
          <w:trHeight w:val="340"/>
        </w:trPr>
        <w:tc>
          <w:tcPr>
            <w:tcW w:w="1843" w:type="dxa"/>
            <w:tcBorders>
              <w:top w:val="single" w:sz="4" w:space="0" w:color="auto"/>
              <w:left w:val="single" w:sz="4" w:space="0" w:color="auto"/>
              <w:bottom w:val="double" w:sz="6" w:space="0" w:color="auto"/>
              <w:right w:val="single" w:sz="4" w:space="0" w:color="auto"/>
            </w:tcBorders>
            <w:shd w:val="clear" w:color="auto" w:fill="4F81BD" w:themeFill="accent1"/>
            <w:noWrap/>
            <w:vAlign w:val="center"/>
            <w:hideMark/>
          </w:tcPr>
          <w:p w14:paraId="5B6436E3" w14:textId="77777777" w:rsidR="00E30971" w:rsidRPr="003A4D4C" w:rsidRDefault="00E30971" w:rsidP="008514E5">
            <w:pPr>
              <w:spacing w:after="0"/>
              <w:jc w:val="center"/>
              <w:rPr>
                <w:rFonts w:ascii="Calibri" w:eastAsia="Times New Roman" w:hAnsi="Calibri" w:cs="Times New Roman"/>
                <w:b/>
                <w:bCs/>
                <w:color w:val="FFFFFF" w:themeColor="background1"/>
                <w:lang w:eastAsia="it-IT"/>
              </w:rPr>
            </w:pPr>
            <w:r>
              <w:rPr>
                <w:rFonts w:ascii="Calibri" w:eastAsia="Times New Roman" w:hAnsi="Calibri" w:cs="Times New Roman"/>
                <w:b/>
                <w:bCs/>
                <w:color w:val="FFFFFF" w:themeColor="background1"/>
                <w:lang w:eastAsia="it-IT"/>
              </w:rPr>
              <w:t>GHG.41</w:t>
            </w:r>
          </w:p>
        </w:tc>
        <w:tc>
          <w:tcPr>
            <w:tcW w:w="8363" w:type="dxa"/>
            <w:tcBorders>
              <w:top w:val="single" w:sz="4" w:space="0" w:color="auto"/>
              <w:left w:val="nil"/>
              <w:bottom w:val="double" w:sz="6" w:space="0" w:color="auto"/>
              <w:right w:val="single" w:sz="4" w:space="0" w:color="auto"/>
            </w:tcBorders>
            <w:shd w:val="clear" w:color="auto" w:fill="4F81BD" w:themeFill="accent1"/>
            <w:vAlign w:val="center"/>
            <w:hideMark/>
          </w:tcPr>
          <w:p w14:paraId="2E9A9269" w14:textId="77777777" w:rsidR="00E30971" w:rsidRPr="003A4D4C" w:rsidRDefault="00E30971" w:rsidP="008514E5">
            <w:pPr>
              <w:spacing w:after="0"/>
              <w:rPr>
                <w:rFonts w:ascii="Calibri" w:eastAsia="Times New Roman" w:hAnsi="Calibri" w:cs="Times New Roman"/>
                <w:b/>
                <w:bCs/>
                <w:color w:val="FFFFFF" w:themeColor="background1"/>
                <w:lang w:eastAsia="it-IT"/>
              </w:rPr>
            </w:pPr>
            <w:r w:rsidRPr="0051455A">
              <w:rPr>
                <w:b/>
                <w:bCs/>
                <w:color w:val="FFFFFF" w:themeColor="background1"/>
              </w:rPr>
              <w:t xml:space="preserve">GHG emissions of exported electricity, steam, </w:t>
            </w:r>
            <w:proofErr w:type="gramStart"/>
            <w:r w:rsidRPr="0051455A">
              <w:rPr>
                <w:b/>
                <w:bCs/>
                <w:color w:val="FFFFFF" w:themeColor="background1"/>
              </w:rPr>
              <w:t>heat</w:t>
            </w:r>
            <w:proofErr w:type="gramEnd"/>
            <w:r w:rsidRPr="0051455A">
              <w:rPr>
                <w:b/>
                <w:bCs/>
                <w:color w:val="FFFFFF" w:themeColor="background1"/>
              </w:rPr>
              <w:t xml:space="preserve"> and cooling</w:t>
            </w:r>
            <w:r>
              <w:rPr>
                <w:b/>
                <w:bCs/>
                <w:color w:val="FFFFFF" w:themeColor="background1"/>
              </w:rPr>
              <w:t xml:space="preserve"> - Upstream</w:t>
            </w:r>
          </w:p>
        </w:tc>
      </w:tr>
      <w:tr w:rsidR="00E30971" w:rsidRPr="00810A15" w14:paraId="4F57F980" w14:textId="77777777" w:rsidTr="008514E5">
        <w:trPr>
          <w:trHeight w:val="567"/>
        </w:trPr>
        <w:tc>
          <w:tcPr>
            <w:tcW w:w="1843" w:type="dxa"/>
            <w:tcBorders>
              <w:top w:val="nil"/>
              <w:left w:val="single" w:sz="4" w:space="0" w:color="auto"/>
              <w:bottom w:val="single" w:sz="4" w:space="0" w:color="auto"/>
              <w:right w:val="single" w:sz="4" w:space="0" w:color="auto"/>
            </w:tcBorders>
            <w:shd w:val="clear" w:color="auto" w:fill="auto"/>
            <w:hideMark/>
          </w:tcPr>
          <w:p w14:paraId="523BC1DC" w14:textId="77777777" w:rsidR="00E30971" w:rsidRPr="003A4D4C" w:rsidRDefault="00E30971" w:rsidP="008514E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Definition and Boundary</w:t>
            </w:r>
          </w:p>
        </w:tc>
        <w:tc>
          <w:tcPr>
            <w:tcW w:w="8363" w:type="dxa"/>
            <w:tcBorders>
              <w:top w:val="nil"/>
              <w:left w:val="nil"/>
              <w:bottom w:val="single" w:sz="4" w:space="0" w:color="auto"/>
              <w:right w:val="single" w:sz="4" w:space="0" w:color="auto"/>
            </w:tcBorders>
            <w:shd w:val="clear" w:color="auto" w:fill="auto"/>
            <w:hideMark/>
          </w:tcPr>
          <w:p w14:paraId="598904F0" w14:textId="77777777" w:rsidR="00E30971" w:rsidRDefault="00E30971" w:rsidP="008514E5">
            <w:pPr>
              <w:pStyle w:val="NoSpace"/>
              <w:jc w:val="left"/>
            </w:pPr>
            <w:r>
              <w:t>When a company exports / sells electricity, steam, heat or cooling to external parties and if related data is available, emissions related to this export can be reported here.</w:t>
            </w:r>
          </w:p>
          <w:p w14:paraId="788F5A3A" w14:textId="77777777" w:rsidR="00E30971" w:rsidRDefault="00E30971" w:rsidP="008514E5">
            <w:pPr>
              <w:pStyle w:val="NoSpace"/>
            </w:pPr>
            <w:r>
              <w:t xml:space="preserve">Each company provides its own GHG emissions </w:t>
            </w:r>
            <w:r w:rsidRPr="004849CA">
              <w:t xml:space="preserve">from </w:t>
            </w:r>
            <w:r>
              <w:t xml:space="preserve">these exported </w:t>
            </w:r>
            <w:r w:rsidRPr="004849CA">
              <w:t xml:space="preserve">electricity, steam, </w:t>
            </w:r>
            <w:proofErr w:type="gramStart"/>
            <w:r w:rsidRPr="004849CA">
              <w:t>heat</w:t>
            </w:r>
            <w:proofErr w:type="gramEnd"/>
            <w:r w:rsidRPr="004849CA">
              <w:t xml:space="preserve"> and cooling</w:t>
            </w:r>
            <w:r>
              <w:t xml:space="preserve"> </w:t>
            </w:r>
            <w:r w:rsidRPr="00165395">
              <w:t>along the reporting year</w:t>
            </w:r>
            <w:r>
              <w:t>.</w:t>
            </w:r>
          </w:p>
          <w:p w14:paraId="2E856A9E" w14:textId="5719C281" w:rsidR="00806BD1" w:rsidRPr="00810A15" w:rsidRDefault="00E30971" w:rsidP="008514E5">
            <w:pPr>
              <w:pStyle w:val="NoSpace"/>
              <w:jc w:val="left"/>
            </w:pPr>
            <w:r>
              <w:t>This indicator covers operated GHG emissions of exported electricity, steam, heat or cooling within the Upstream activities (</w:t>
            </w:r>
            <w:r>
              <w:rPr>
                <w:lang w:eastAsia="fr-FR"/>
              </w:rPr>
              <w:t>Section “</w:t>
            </w:r>
            <w:r>
              <w:rPr>
                <w:lang w:eastAsia="fr-FR"/>
              </w:rPr>
              <w:fldChar w:fldCharType="begin"/>
            </w:r>
            <w:r>
              <w:rPr>
                <w:lang w:eastAsia="fr-FR"/>
              </w:rPr>
              <w:instrText xml:space="preserve"> REF _Ref18401014 \h </w:instrText>
            </w:r>
            <w:r>
              <w:rPr>
                <w:lang w:eastAsia="fr-FR"/>
              </w:rPr>
            </w:r>
            <w:r>
              <w:rPr>
                <w:lang w:eastAsia="fr-FR"/>
              </w:rPr>
              <w:fldChar w:fldCharType="separate"/>
            </w:r>
            <w:r w:rsidR="00120F27">
              <w:t>Definitions</w:t>
            </w:r>
            <w:r>
              <w:rPr>
                <w:lang w:eastAsia="fr-FR"/>
              </w:rPr>
              <w:fldChar w:fldCharType="end"/>
            </w:r>
            <w:r>
              <w:rPr>
                <w:lang w:eastAsia="fr-FR"/>
              </w:rPr>
              <w:t>”).</w:t>
            </w:r>
          </w:p>
        </w:tc>
      </w:tr>
      <w:tr w:rsidR="00E30971" w:rsidRPr="00810A15" w14:paraId="6ECA4748" w14:textId="77777777" w:rsidTr="008514E5">
        <w:trPr>
          <w:trHeight w:val="340"/>
        </w:trPr>
        <w:tc>
          <w:tcPr>
            <w:tcW w:w="1843" w:type="dxa"/>
            <w:tcBorders>
              <w:top w:val="nil"/>
              <w:left w:val="single" w:sz="4" w:space="0" w:color="auto"/>
              <w:bottom w:val="single" w:sz="4" w:space="0" w:color="auto"/>
              <w:right w:val="single" w:sz="4" w:space="0" w:color="auto"/>
            </w:tcBorders>
            <w:shd w:val="clear" w:color="auto" w:fill="auto"/>
            <w:noWrap/>
            <w:hideMark/>
          </w:tcPr>
          <w:p w14:paraId="7D0B95FD" w14:textId="77777777" w:rsidR="00E30971" w:rsidRPr="003A4D4C" w:rsidRDefault="00E30971" w:rsidP="008514E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Methodology</w:t>
            </w:r>
          </w:p>
        </w:tc>
        <w:tc>
          <w:tcPr>
            <w:tcW w:w="8363" w:type="dxa"/>
            <w:tcBorders>
              <w:top w:val="nil"/>
              <w:left w:val="nil"/>
              <w:bottom w:val="single" w:sz="4" w:space="0" w:color="auto"/>
              <w:right w:val="single" w:sz="4" w:space="0" w:color="auto"/>
            </w:tcBorders>
            <w:shd w:val="clear" w:color="auto" w:fill="auto"/>
            <w:hideMark/>
          </w:tcPr>
          <w:p w14:paraId="4085F9BB" w14:textId="77777777" w:rsidR="00E30971" w:rsidRPr="00810A15" w:rsidRDefault="00E30971" w:rsidP="008514E5">
            <w:pPr>
              <w:pStyle w:val="NoSpace"/>
            </w:pPr>
            <w:r w:rsidRPr="00810A15">
              <w:t>Companies can use the same methodology approach used for their public reporting of GHG emissions in other relevant documentation (</w:t>
            </w:r>
            <w:proofErr w:type="gramStart"/>
            <w:r w:rsidRPr="00810A15">
              <w:t>e.g.</w:t>
            </w:r>
            <w:proofErr w:type="gramEnd"/>
            <w:r w:rsidRPr="00810A15">
              <w:t xml:space="preserve"> Annual Report, Sustainability Report, etc.), assuming however that the figure is </w:t>
            </w:r>
            <w:r>
              <w:t>based upon</w:t>
            </w:r>
            <w:r w:rsidRPr="00810A15">
              <w:t xml:space="preserve"> the operational approach.</w:t>
            </w:r>
          </w:p>
        </w:tc>
      </w:tr>
      <w:tr w:rsidR="00E30971" w:rsidRPr="00810A15" w14:paraId="67EAEEB5" w14:textId="77777777" w:rsidTr="008514E5">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11D98E1" w14:textId="77777777" w:rsidR="00E30971" w:rsidRPr="003A4D4C" w:rsidRDefault="00E30971" w:rsidP="008514E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 xml:space="preserve">Unit </w:t>
            </w:r>
          </w:p>
        </w:tc>
        <w:tc>
          <w:tcPr>
            <w:tcW w:w="8363" w:type="dxa"/>
            <w:tcBorders>
              <w:top w:val="single" w:sz="4" w:space="0" w:color="auto"/>
              <w:left w:val="nil"/>
              <w:bottom w:val="single" w:sz="4" w:space="0" w:color="auto"/>
              <w:right w:val="single" w:sz="4" w:space="0" w:color="auto"/>
            </w:tcBorders>
            <w:shd w:val="clear" w:color="auto" w:fill="auto"/>
            <w:hideMark/>
          </w:tcPr>
          <w:p w14:paraId="477ED62A" w14:textId="22155A3F" w:rsidR="00E30971" w:rsidRPr="00810A15" w:rsidRDefault="00E30971" w:rsidP="008514E5">
            <w:pPr>
              <w:pStyle w:val="NoSpace"/>
              <w:jc w:val="left"/>
            </w:pPr>
            <w:r w:rsidRPr="00AB5385">
              <w:t xml:space="preserve">Companies </w:t>
            </w:r>
            <w:r>
              <w:t>should</w:t>
            </w:r>
            <w:r w:rsidRPr="00AB5385">
              <w:t xml:space="preserve"> report in tonnes of CO</w:t>
            </w:r>
            <w:r w:rsidRPr="00AB5385">
              <w:rPr>
                <w:vertAlign w:val="subscript"/>
              </w:rPr>
              <w:t>2</w:t>
            </w:r>
            <w:r w:rsidRPr="00AB5385">
              <w:t xml:space="preserve"> equivalent</w:t>
            </w:r>
            <w:r w:rsidRPr="00810A15">
              <w:t xml:space="preserve"> [tCO</w:t>
            </w:r>
            <w:r w:rsidRPr="00810A15">
              <w:rPr>
                <w:vertAlign w:val="subscript"/>
              </w:rPr>
              <w:t>2eq</w:t>
            </w:r>
            <w:r w:rsidRPr="00810A15">
              <w:t>]</w:t>
            </w:r>
            <w:r>
              <w:t xml:space="preserve"> (See </w:t>
            </w:r>
            <w:r>
              <w:fldChar w:fldCharType="begin"/>
            </w:r>
            <w:r>
              <w:instrText xml:space="preserve"> REF _Ref19181280 \h </w:instrText>
            </w:r>
            <w:r>
              <w:fldChar w:fldCharType="separate"/>
            </w:r>
            <w:r w:rsidR="00120F27">
              <w:rPr>
                <w:lang w:eastAsia="fr-FR"/>
              </w:rPr>
              <w:t>Appendix B – Calculation and conversion factors</w:t>
            </w:r>
            <w:r>
              <w:fldChar w:fldCharType="end"/>
            </w:r>
            <w:r>
              <w:t xml:space="preserve"> ).</w:t>
            </w:r>
          </w:p>
        </w:tc>
      </w:tr>
      <w:tr w:rsidR="00E30971" w:rsidRPr="00810A15" w14:paraId="43792B4D" w14:textId="77777777" w:rsidTr="008514E5">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AD493B6" w14:textId="77777777" w:rsidR="00E30971" w:rsidRPr="003A4D4C" w:rsidRDefault="00E30971" w:rsidP="008514E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External references</w:t>
            </w:r>
          </w:p>
        </w:tc>
        <w:tc>
          <w:tcPr>
            <w:tcW w:w="8363" w:type="dxa"/>
            <w:tcBorders>
              <w:top w:val="single" w:sz="4" w:space="0" w:color="auto"/>
              <w:left w:val="nil"/>
              <w:bottom w:val="single" w:sz="4" w:space="0" w:color="auto"/>
              <w:right w:val="single" w:sz="4" w:space="0" w:color="auto"/>
            </w:tcBorders>
            <w:shd w:val="clear" w:color="auto" w:fill="auto"/>
          </w:tcPr>
          <w:p w14:paraId="08336D8F" w14:textId="77777777" w:rsidR="00E30971" w:rsidRDefault="00E30971" w:rsidP="0035559C">
            <w:pPr>
              <w:pStyle w:val="NoSpace"/>
              <w:numPr>
                <w:ilvl w:val="0"/>
                <w:numId w:val="14"/>
              </w:numPr>
            </w:pPr>
            <w:r w:rsidRPr="00810A15">
              <w:t>IPIECA O&amp;G industry guidance on voluntary sustainability reporting 2015: indicator E1</w:t>
            </w:r>
          </w:p>
          <w:p w14:paraId="37FEC285" w14:textId="77777777" w:rsidR="00E30971" w:rsidRPr="00810A15" w:rsidRDefault="00E30971" w:rsidP="0035559C">
            <w:pPr>
              <w:pStyle w:val="NoSpace"/>
              <w:numPr>
                <w:ilvl w:val="0"/>
                <w:numId w:val="14"/>
              </w:numPr>
            </w:pPr>
            <w:r w:rsidRPr="00810A15">
              <w:t>IPIECA Climate Change Reporting Framework 2015: Topic 9</w:t>
            </w:r>
          </w:p>
        </w:tc>
      </w:tr>
    </w:tbl>
    <w:p w14:paraId="03CA27F9" w14:textId="38958A1E" w:rsidR="00BF307E" w:rsidRDefault="00BF307E" w:rsidP="00F005BE">
      <w:pPr>
        <w:pStyle w:val="NoSpace"/>
      </w:pPr>
    </w:p>
    <w:tbl>
      <w:tblPr>
        <w:tblW w:w="10206" w:type="dxa"/>
        <w:tblInd w:w="-5" w:type="dxa"/>
        <w:tblCellMar>
          <w:left w:w="70" w:type="dxa"/>
          <w:right w:w="70" w:type="dxa"/>
        </w:tblCellMar>
        <w:tblLook w:val="04A0" w:firstRow="1" w:lastRow="0" w:firstColumn="1" w:lastColumn="0" w:noHBand="0" w:noVBand="1"/>
      </w:tblPr>
      <w:tblGrid>
        <w:gridCol w:w="1843"/>
        <w:gridCol w:w="8363"/>
      </w:tblGrid>
      <w:tr w:rsidR="0037511E" w:rsidRPr="00810A15" w14:paraId="45082B27" w14:textId="77777777" w:rsidTr="00F005BE">
        <w:trPr>
          <w:trHeight w:val="340"/>
        </w:trPr>
        <w:tc>
          <w:tcPr>
            <w:tcW w:w="1843" w:type="dxa"/>
            <w:tcBorders>
              <w:top w:val="single" w:sz="4" w:space="0" w:color="auto"/>
              <w:left w:val="single" w:sz="4" w:space="0" w:color="auto"/>
              <w:bottom w:val="double" w:sz="6" w:space="0" w:color="auto"/>
              <w:right w:val="single" w:sz="4" w:space="0" w:color="auto"/>
            </w:tcBorders>
            <w:shd w:val="clear" w:color="auto" w:fill="4F81BD" w:themeFill="accent1"/>
            <w:noWrap/>
            <w:vAlign w:val="center"/>
            <w:hideMark/>
          </w:tcPr>
          <w:p w14:paraId="4D67EF31" w14:textId="26DA42FB" w:rsidR="0037511E" w:rsidRPr="003A4D4C" w:rsidRDefault="0037511E" w:rsidP="00581355">
            <w:pPr>
              <w:spacing w:after="0"/>
              <w:jc w:val="center"/>
              <w:rPr>
                <w:rFonts w:ascii="Calibri" w:eastAsia="Times New Roman" w:hAnsi="Calibri" w:cs="Times New Roman"/>
                <w:b/>
                <w:bCs/>
                <w:color w:val="FFFFFF" w:themeColor="background1"/>
                <w:lang w:eastAsia="it-IT"/>
              </w:rPr>
            </w:pPr>
            <w:r>
              <w:rPr>
                <w:rFonts w:ascii="Calibri" w:eastAsia="Times New Roman" w:hAnsi="Calibri" w:cs="Times New Roman"/>
                <w:b/>
                <w:bCs/>
                <w:color w:val="FFFFFF" w:themeColor="background1"/>
                <w:lang w:eastAsia="it-IT"/>
              </w:rPr>
              <w:t>CAR</w:t>
            </w:r>
          </w:p>
        </w:tc>
        <w:tc>
          <w:tcPr>
            <w:tcW w:w="8363" w:type="dxa"/>
            <w:tcBorders>
              <w:top w:val="single" w:sz="4" w:space="0" w:color="auto"/>
              <w:left w:val="nil"/>
              <w:bottom w:val="double" w:sz="6" w:space="0" w:color="auto"/>
              <w:right w:val="single" w:sz="4" w:space="0" w:color="auto"/>
            </w:tcBorders>
            <w:shd w:val="clear" w:color="auto" w:fill="4F81BD" w:themeFill="accent1"/>
            <w:vAlign w:val="center"/>
            <w:hideMark/>
          </w:tcPr>
          <w:p w14:paraId="27500CCF" w14:textId="06E3D279" w:rsidR="0037511E" w:rsidRPr="003A4D4C" w:rsidRDefault="0037511E" w:rsidP="00581355">
            <w:pPr>
              <w:spacing w:after="0"/>
              <w:rPr>
                <w:rFonts w:ascii="Calibri" w:eastAsia="Times New Roman" w:hAnsi="Calibri" w:cs="Times New Roman"/>
                <w:b/>
                <w:bCs/>
                <w:color w:val="FFFFFF" w:themeColor="background1"/>
                <w:lang w:eastAsia="it-IT"/>
              </w:rPr>
            </w:pPr>
            <w:r>
              <w:rPr>
                <w:b/>
                <w:bCs/>
                <w:color w:val="FFFFFF" w:themeColor="background1"/>
              </w:rPr>
              <w:t>Carbon intensity – Upstre</w:t>
            </w:r>
            <w:r w:rsidR="002F0614">
              <w:rPr>
                <w:b/>
                <w:bCs/>
                <w:color w:val="FFFFFF" w:themeColor="background1"/>
              </w:rPr>
              <w:t>am</w:t>
            </w:r>
          </w:p>
        </w:tc>
      </w:tr>
      <w:tr w:rsidR="0037511E" w:rsidRPr="00810A15" w14:paraId="24DB2DA3" w14:textId="77777777" w:rsidTr="00581355">
        <w:trPr>
          <w:trHeight w:val="567"/>
        </w:trPr>
        <w:tc>
          <w:tcPr>
            <w:tcW w:w="1843" w:type="dxa"/>
            <w:tcBorders>
              <w:top w:val="nil"/>
              <w:left w:val="single" w:sz="4" w:space="0" w:color="auto"/>
              <w:bottom w:val="single" w:sz="4" w:space="0" w:color="auto"/>
              <w:right w:val="single" w:sz="4" w:space="0" w:color="auto"/>
            </w:tcBorders>
            <w:shd w:val="clear" w:color="auto" w:fill="auto"/>
            <w:hideMark/>
          </w:tcPr>
          <w:p w14:paraId="656C5BB8" w14:textId="77777777" w:rsidR="0037511E" w:rsidRPr="003A4D4C" w:rsidRDefault="0037511E" w:rsidP="0058135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Definition and Boundary</w:t>
            </w:r>
          </w:p>
        </w:tc>
        <w:tc>
          <w:tcPr>
            <w:tcW w:w="8363" w:type="dxa"/>
            <w:tcBorders>
              <w:top w:val="nil"/>
              <w:left w:val="nil"/>
              <w:bottom w:val="single" w:sz="4" w:space="0" w:color="auto"/>
              <w:right w:val="single" w:sz="4" w:space="0" w:color="auto"/>
            </w:tcBorders>
            <w:shd w:val="clear" w:color="auto" w:fill="auto"/>
            <w:hideMark/>
          </w:tcPr>
          <w:p w14:paraId="0381C7D0" w14:textId="084AFEC4" w:rsidR="0037511E" w:rsidRPr="00810A15" w:rsidRDefault="00B5203F" w:rsidP="00581355">
            <w:pPr>
              <w:pStyle w:val="NoSpace"/>
              <w:jc w:val="left"/>
            </w:pPr>
            <w:r>
              <w:t>T</w:t>
            </w:r>
            <w:r w:rsidR="0037511E">
              <w:t xml:space="preserve">his </w:t>
            </w:r>
            <w:r w:rsidR="003452D0">
              <w:t xml:space="preserve">indicator </w:t>
            </w:r>
            <w:r w:rsidR="0037511E">
              <w:t xml:space="preserve">is calculated at the OGCI </w:t>
            </w:r>
            <w:r>
              <w:t>consolidated level</w:t>
            </w:r>
            <w:r w:rsidR="0037511E">
              <w:t>.</w:t>
            </w:r>
          </w:p>
        </w:tc>
      </w:tr>
      <w:tr w:rsidR="0037511E" w:rsidRPr="00810A15" w14:paraId="03D9E788" w14:textId="77777777" w:rsidTr="00F005BE">
        <w:trPr>
          <w:trHeight w:val="340"/>
        </w:trPr>
        <w:tc>
          <w:tcPr>
            <w:tcW w:w="1843" w:type="dxa"/>
            <w:tcBorders>
              <w:top w:val="nil"/>
              <w:left w:val="single" w:sz="4" w:space="0" w:color="auto"/>
              <w:bottom w:val="single" w:sz="4" w:space="0" w:color="auto"/>
              <w:right w:val="single" w:sz="4" w:space="0" w:color="auto"/>
            </w:tcBorders>
            <w:shd w:val="clear" w:color="auto" w:fill="auto"/>
            <w:noWrap/>
            <w:hideMark/>
          </w:tcPr>
          <w:p w14:paraId="07728D1A" w14:textId="77777777" w:rsidR="0037511E" w:rsidRPr="003A4D4C" w:rsidRDefault="0037511E" w:rsidP="0058135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Methodology</w:t>
            </w:r>
          </w:p>
        </w:tc>
        <w:tc>
          <w:tcPr>
            <w:tcW w:w="8363" w:type="dxa"/>
            <w:tcBorders>
              <w:top w:val="nil"/>
              <w:left w:val="nil"/>
              <w:bottom w:val="single" w:sz="4" w:space="0" w:color="auto"/>
              <w:right w:val="single" w:sz="4" w:space="0" w:color="auto"/>
            </w:tcBorders>
            <w:shd w:val="clear" w:color="auto" w:fill="auto"/>
            <w:hideMark/>
          </w:tcPr>
          <w:p w14:paraId="509BCB7A" w14:textId="4239E6B1" w:rsidR="0037511E" w:rsidRPr="00810A15" w:rsidRDefault="0037511E" w:rsidP="00581355">
            <w:pPr>
              <w:pStyle w:val="NoSpace"/>
              <w:jc w:val="left"/>
            </w:pPr>
            <w:r>
              <w:t>(See Se</w:t>
            </w:r>
            <w:r w:rsidR="00B5203F">
              <w:t xml:space="preserve">ction </w:t>
            </w:r>
            <w:r w:rsidR="00C80D58">
              <w:t xml:space="preserve">8 </w:t>
            </w:r>
            <w:r w:rsidR="001856D5">
              <w:t>p.</w:t>
            </w:r>
            <w:r w:rsidR="001856D5">
              <w:fldChar w:fldCharType="begin"/>
            </w:r>
            <w:r w:rsidR="001856D5">
              <w:instrText xml:space="preserve"> PAGEREF _Ref18998296 \h </w:instrText>
            </w:r>
            <w:r w:rsidR="001856D5">
              <w:fldChar w:fldCharType="separate"/>
            </w:r>
            <w:r w:rsidR="002934BE">
              <w:rPr>
                <w:noProof/>
              </w:rPr>
              <w:t>18</w:t>
            </w:r>
            <w:r w:rsidR="001856D5">
              <w:fldChar w:fldCharType="end"/>
            </w:r>
            <w:r w:rsidR="001856D5">
              <w:t>)</w:t>
            </w:r>
          </w:p>
        </w:tc>
      </w:tr>
      <w:tr w:rsidR="0037511E" w:rsidRPr="00810A15" w14:paraId="3A784AA3" w14:textId="77777777" w:rsidTr="00F005BE">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9940893" w14:textId="401C6C29" w:rsidR="0037511E" w:rsidRPr="003A4D4C" w:rsidRDefault="0037511E" w:rsidP="0058135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 xml:space="preserve">Unit </w:t>
            </w:r>
          </w:p>
        </w:tc>
        <w:tc>
          <w:tcPr>
            <w:tcW w:w="8363" w:type="dxa"/>
            <w:tcBorders>
              <w:top w:val="single" w:sz="4" w:space="0" w:color="auto"/>
              <w:left w:val="nil"/>
              <w:bottom w:val="single" w:sz="4" w:space="0" w:color="auto"/>
              <w:right w:val="single" w:sz="4" w:space="0" w:color="auto"/>
            </w:tcBorders>
            <w:shd w:val="clear" w:color="auto" w:fill="auto"/>
            <w:hideMark/>
          </w:tcPr>
          <w:p w14:paraId="1F19C3C6" w14:textId="69FF170C" w:rsidR="0037511E" w:rsidRPr="00810A15" w:rsidRDefault="00A35228" w:rsidP="00581355">
            <w:pPr>
              <w:pStyle w:val="NoSpace"/>
              <w:jc w:val="left"/>
            </w:pPr>
            <w:r>
              <w:t>[</w:t>
            </w:r>
            <w:r w:rsidR="00C80D58">
              <w:t>KgCO2e/boe</w:t>
            </w:r>
            <w:r>
              <w:t>]</w:t>
            </w:r>
          </w:p>
        </w:tc>
      </w:tr>
      <w:tr w:rsidR="0037511E" w:rsidRPr="00810A15" w14:paraId="173C2262" w14:textId="77777777" w:rsidTr="00F005BE">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3D42289" w14:textId="77777777" w:rsidR="0037511E" w:rsidRPr="003A4D4C" w:rsidRDefault="0037511E" w:rsidP="0058135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External references</w:t>
            </w:r>
          </w:p>
        </w:tc>
        <w:tc>
          <w:tcPr>
            <w:tcW w:w="8363" w:type="dxa"/>
            <w:tcBorders>
              <w:top w:val="single" w:sz="4" w:space="0" w:color="auto"/>
              <w:left w:val="nil"/>
              <w:bottom w:val="single" w:sz="4" w:space="0" w:color="auto"/>
              <w:right w:val="single" w:sz="4" w:space="0" w:color="auto"/>
            </w:tcBorders>
            <w:shd w:val="clear" w:color="auto" w:fill="auto"/>
          </w:tcPr>
          <w:p w14:paraId="6C3DBB02" w14:textId="68D8C2CD" w:rsidR="0037511E" w:rsidRPr="00810A15" w:rsidRDefault="0057738C" w:rsidP="00581355">
            <w:pPr>
              <w:pStyle w:val="NoSpace"/>
              <w:jc w:val="left"/>
            </w:pPr>
            <w:r>
              <w:t>NA</w:t>
            </w:r>
          </w:p>
        </w:tc>
      </w:tr>
    </w:tbl>
    <w:p w14:paraId="66F3B0E2" w14:textId="03BB5AF3" w:rsidR="00C80D58" w:rsidRDefault="00C80D58" w:rsidP="00C80D58"/>
    <w:p w14:paraId="459CDBBE" w14:textId="77777777" w:rsidR="00C80D58" w:rsidRDefault="00C80D58">
      <w:pPr>
        <w:spacing w:after="0" w:line="276" w:lineRule="auto"/>
        <w:jc w:val="left"/>
        <w:rPr>
          <w:rFonts w:eastAsiaTheme="majorEastAsia" w:cstheme="minorHAnsi"/>
          <w:color w:val="365F91" w:themeColor="accent1" w:themeShade="BF"/>
          <w:sz w:val="26"/>
          <w:szCs w:val="26"/>
          <w:lang w:eastAsia="fr-FR"/>
        </w:rPr>
      </w:pPr>
      <w:r>
        <w:br w:type="page"/>
      </w:r>
    </w:p>
    <w:p w14:paraId="26AA40C7" w14:textId="77777777" w:rsidR="00756385" w:rsidRDefault="00756385" w:rsidP="00756385">
      <w:pPr>
        <w:pStyle w:val="Heading2"/>
      </w:pPr>
      <w:r>
        <w:lastRenderedPageBreak/>
        <w:t>Methane emissions</w:t>
      </w:r>
    </w:p>
    <w:tbl>
      <w:tblPr>
        <w:tblW w:w="10206" w:type="dxa"/>
        <w:tblInd w:w="-5" w:type="dxa"/>
        <w:tblCellMar>
          <w:left w:w="70" w:type="dxa"/>
          <w:right w:w="70" w:type="dxa"/>
        </w:tblCellMar>
        <w:tblLook w:val="04A0" w:firstRow="1" w:lastRow="0" w:firstColumn="1" w:lastColumn="0" w:noHBand="0" w:noVBand="1"/>
      </w:tblPr>
      <w:tblGrid>
        <w:gridCol w:w="1843"/>
        <w:gridCol w:w="8363"/>
      </w:tblGrid>
      <w:tr w:rsidR="00756385" w:rsidRPr="00810A15" w14:paraId="34BFCEC8" w14:textId="77777777" w:rsidTr="009206E5">
        <w:trPr>
          <w:trHeight w:val="340"/>
        </w:trPr>
        <w:tc>
          <w:tcPr>
            <w:tcW w:w="1843" w:type="dxa"/>
            <w:tcBorders>
              <w:top w:val="single" w:sz="4" w:space="0" w:color="auto"/>
              <w:left w:val="single" w:sz="4" w:space="0" w:color="auto"/>
              <w:bottom w:val="double" w:sz="6" w:space="0" w:color="auto"/>
              <w:right w:val="single" w:sz="4" w:space="0" w:color="auto"/>
            </w:tcBorders>
            <w:shd w:val="clear" w:color="auto" w:fill="4F81BD" w:themeFill="accent1"/>
            <w:noWrap/>
            <w:vAlign w:val="center"/>
            <w:hideMark/>
          </w:tcPr>
          <w:p w14:paraId="6C83DD98" w14:textId="77777777" w:rsidR="00756385" w:rsidRPr="003A4D4C" w:rsidRDefault="00756385" w:rsidP="009206E5">
            <w:pPr>
              <w:spacing w:after="0"/>
              <w:jc w:val="center"/>
              <w:rPr>
                <w:rFonts w:ascii="Calibri" w:eastAsia="Times New Roman" w:hAnsi="Calibri" w:cs="Times New Roman"/>
                <w:b/>
                <w:bCs/>
                <w:color w:val="FFFFFF" w:themeColor="background1"/>
                <w:lang w:eastAsia="it-IT"/>
              </w:rPr>
            </w:pPr>
            <w:r>
              <w:rPr>
                <w:rFonts w:ascii="Calibri" w:eastAsia="Times New Roman" w:hAnsi="Calibri" w:cs="Times New Roman"/>
                <w:b/>
                <w:bCs/>
                <w:color w:val="FFFFFF" w:themeColor="background1"/>
                <w:lang w:eastAsia="it-IT"/>
              </w:rPr>
              <w:t>MET.1</w:t>
            </w:r>
          </w:p>
        </w:tc>
        <w:tc>
          <w:tcPr>
            <w:tcW w:w="8363" w:type="dxa"/>
            <w:tcBorders>
              <w:top w:val="single" w:sz="4" w:space="0" w:color="auto"/>
              <w:left w:val="nil"/>
              <w:bottom w:val="double" w:sz="6" w:space="0" w:color="auto"/>
              <w:right w:val="single" w:sz="4" w:space="0" w:color="auto"/>
            </w:tcBorders>
            <w:shd w:val="clear" w:color="auto" w:fill="4F81BD" w:themeFill="accent1"/>
            <w:vAlign w:val="center"/>
            <w:hideMark/>
          </w:tcPr>
          <w:p w14:paraId="19D8FF1E" w14:textId="77777777" w:rsidR="00756385" w:rsidRPr="003A4D4C" w:rsidRDefault="00756385" w:rsidP="009206E5">
            <w:pPr>
              <w:spacing w:after="0"/>
              <w:rPr>
                <w:rFonts w:ascii="Calibri" w:eastAsia="Times New Roman" w:hAnsi="Calibri" w:cs="Times New Roman"/>
                <w:b/>
                <w:bCs/>
                <w:color w:val="FFFFFF" w:themeColor="background1"/>
                <w:lang w:eastAsia="it-IT"/>
              </w:rPr>
            </w:pPr>
            <w:r w:rsidRPr="00B33AF6">
              <w:rPr>
                <w:b/>
                <w:bCs/>
                <w:color w:val="FFFFFF" w:themeColor="background1"/>
              </w:rPr>
              <w:t>Total operated CH</w:t>
            </w:r>
            <w:r w:rsidRPr="00B33AF6">
              <w:rPr>
                <w:b/>
                <w:bCs/>
                <w:color w:val="FFFFFF" w:themeColor="background1"/>
                <w:vertAlign w:val="subscript"/>
              </w:rPr>
              <w:t>4</w:t>
            </w:r>
            <w:r w:rsidRPr="00B33AF6">
              <w:rPr>
                <w:b/>
                <w:bCs/>
                <w:color w:val="FFFFFF" w:themeColor="background1"/>
              </w:rPr>
              <w:t xml:space="preserve"> emissions – all sectors</w:t>
            </w:r>
          </w:p>
        </w:tc>
      </w:tr>
      <w:tr w:rsidR="00756385" w:rsidRPr="00810A15" w14:paraId="74811999" w14:textId="77777777" w:rsidTr="009206E5">
        <w:trPr>
          <w:trHeight w:val="567"/>
        </w:trPr>
        <w:tc>
          <w:tcPr>
            <w:tcW w:w="1843" w:type="dxa"/>
            <w:tcBorders>
              <w:top w:val="nil"/>
              <w:left w:val="single" w:sz="4" w:space="0" w:color="auto"/>
              <w:bottom w:val="single" w:sz="4" w:space="0" w:color="auto"/>
              <w:right w:val="single" w:sz="4" w:space="0" w:color="auto"/>
            </w:tcBorders>
            <w:shd w:val="clear" w:color="auto" w:fill="auto"/>
            <w:hideMark/>
          </w:tcPr>
          <w:p w14:paraId="3D6CA0EE" w14:textId="77777777" w:rsidR="00756385" w:rsidRPr="003A4D4C" w:rsidRDefault="00756385" w:rsidP="009206E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Definition and Boundary</w:t>
            </w:r>
          </w:p>
        </w:tc>
        <w:tc>
          <w:tcPr>
            <w:tcW w:w="8363" w:type="dxa"/>
            <w:tcBorders>
              <w:top w:val="nil"/>
              <w:left w:val="nil"/>
              <w:bottom w:val="single" w:sz="4" w:space="0" w:color="auto"/>
              <w:right w:val="single" w:sz="4" w:space="0" w:color="auto"/>
            </w:tcBorders>
            <w:shd w:val="clear" w:color="auto" w:fill="auto"/>
          </w:tcPr>
          <w:p w14:paraId="0B668EE0" w14:textId="77777777" w:rsidR="00756385" w:rsidRDefault="00756385" w:rsidP="009206E5">
            <w:pPr>
              <w:pStyle w:val="NoSpace"/>
            </w:pPr>
            <w:r>
              <w:t>Each company provides its own operated</w:t>
            </w:r>
            <w:r w:rsidRPr="00165395">
              <w:t xml:space="preserve"> </w:t>
            </w:r>
            <w:r>
              <w:t>CH</w:t>
            </w:r>
            <w:r w:rsidRPr="00B33AF6">
              <w:rPr>
                <w:vertAlign w:val="subscript"/>
              </w:rPr>
              <w:t>4</w:t>
            </w:r>
            <w:r>
              <w:t xml:space="preserve"> emissions </w:t>
            </w:r>
            <w:r w:rsidRPr="00165395">
              <w:t>along the reporting year</w:t>
            </w:r>
            <w:r>
              <w:t>.</w:t>
            </w:r>
          </w:p>
          <w:p w14:paraId="7883D4A1" w14:textId="77777777" w:rsidR="00756385" w:rsidRPr="00810A15" w:rsidRDefault="00756385" w:rsidP="009206E5">
            <w:pPr>
              <w:pStyle w:val="NoSpace"/>
            </w:pPr>
            <w:r>
              <w:t xml:space="preserve">These emissions should cover </w:t>
            </w:r>
            <w:r w:rsidRPr="00B33AF6">
              <w:t>CH</w:t>
            </w:r>
            <w:r w:rsidRPr="00B33AF6">
              <w:rPr>
                <w:vertAlign w:val="subscript"/>
              </w:rPr>
              <w:t>4</w:t>
            </w:r>
            <w:r w:rsidRPr="00B33AF6">
              <w:t xml:space="preserve"> emissions coming from operational perimeter</w:t>
            </w:r>
            <w:r>
              <w:t>, (</w:t>
            </w:r>
            <w:r w:rsidRPr="00B33AF6">
              <w:t>not only upstream but also other activities, including refineries, transport, pipelines, storage, etc.)</w:t>
            </w:r>
            <w:r>
              <w:t xml:space="preserve"> and </w:t>
            </w:r>
            <w:proofErr w:type="gramStart"/>
            <w:r w:rsidRPr="00B33AF6">
              <w:t>in particular CH</w:t>
            </w:r>
            <w:r w:rsidRPr="00B33AF6">
              <w:rPr>
                <w:vertAlign w:val="subscript"/>
              </w:rPr>
              <w:t>4</w:t>
            </w:r>
            <w:proofErr w:type="gramEnd"/>
            <w:r w:rsidRPr="00B33AF6">
              <w:t xml:space="preserve"> emissions from flaring.</w:t>
            </w:r>
          </w:p>
        </w:tc>
      </w:tr>
      <w:tr w:rsidR="00756385" w:rsidRPr="00810A15" w14:paraId="56BCB1AF" w14:textId="77777777" w:rsidTr="009206E5">
        <w:trPr>
          <w:trHeight w:val="397"/>
        </w:trPr>
        <w:tc>
          <w:tcPr>
            <w:tcW w:w="1843" w:type="dxa"/>
            <w:tcBorders>
              <w:top w:val="nil"/>
              <w:left w:val="single" w:sz="4" w:space="0" w:color="auto"/>
              <w:bottom w:val="single" w:sz="4" w:space="0" w:color="auto"/>
              <w:right w:val="single" w:sz="4" w:space="0" w:color="auto"/>
            </w:tcBorders>
            <w:shd w:val="clear" w:color="auto" w:fill="auto"/>
            <w:noWrap/>
            <w:hideMark/>
          </w:tcPr>
          <w:p w14:paraId="17BFFF31" w14:textId="77777777" w:rsidR="00756385" w:rsidRPr="003A4D4C" w:rsidRDefault="00756385" w:rsidP="009206E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Methodology</w:t>
            </w:r>
          </w:p>
        </w:tc>
        <w:tc>
          <w:tcPr>
            <w:tcW w:w="8363" w:type="dxa"/>
            <w:tcBorders>
              <w:top w:val="nil"/>
              <w:left w:val="nil"/>
              <w:bottom w:val="single" w:sz="4" w:space="0" w:color="auto"/>
              <w:right w:val="single" w:sz="4" w:space="0" w:color="auto"/>
            </w:tcBorders>
            <w:shd w:val="clear" w:color="auto" w:fill="auto"/>
          </w:tcPr>
          <w:p w14:paraId="3BADB0F9" w14:textId="77777777" w:rsidR="00756385" w:rsidRDefault="00756385" w:rsidP="009206E5">
            <w:pPr>
              <w:pStyle w:val="NoSpace"/>
            </w:pPr>
            <w:r w:rsidRPr="00B07C95">
              <w:t>Companies can use the same methodology approach used for their public reporting of GHG emissions in other relevant documentation (</w:t>
            </w:r>
            <w:proofErr w:type="gramStart"/>
            <w:r w:rsidRPr="00B07C95">
              <w:t>e.g.</w:t>
            </w:r>
            <w:proofErr w:type="gramEnd"/>
            <w:r w:rsidRPr="00B07C95">
              <w:t xml:space="preserve"> Annual Report, Sustainability Report, etc.), assuming however that the figure is </w:t>
            </w:r>
            <w:r>
              <w:t>based upon</w:t>
            </w:r>
            <w:r w:rsidRPr="00B07C95">
              <w:t xml:space="preserve"> the operational approach.</w:t>
            </w:r>
          </w:p>
          <w:p w14:paraId="116B26D0" w14:textId="795EA43B" w:rsidR="00756385" w:rsidRPr="00810A15" w:rsidRDefault="00756385" w:rsidP="009206E5">
            <w:pPr>
              <w:pStyle w:val="NoSpace"/>
            </w:pPr>
            <w:r w:rsidRPr="00B07C95">
              <w:t xml:space="preserve">Companies not able to report specific data on methane emissions can refer to the specific topic guidance </w:t>
            </w:r>
            <w:r w:rsidRPr="003A1B0D">
              <w:t xml:space="preserve">(See </w:t>
            </w:r>
            <w:r w:rsidRPr="003A1B0D">
              <w:fldChar w:fldCharType="begin"/>
            </w:r>
            <w:r w:rsidRPr="003A1B0D">
              <w:instrText xml:space="preserve"> REF _Ref19182232 \h  \* MERGEFORMAT </w:instrText>
            </w:r>
            <w:r w:rsidRPr="003A1B0D">
              <w:fldChar w:fldCharType="separate"/>
            </w:r>
            <w:r>
              <w:rPr>
                <w:lang w:eastAsia="fr-FR"/>
              </w:rPr>
              <w:t>Appendix C – Methodologies and guidance for estimating GHG emissions</w:t>
            </w:r>
            <w:r w:rsidRPr="003A1B0D">
              <w:fldChar w:fldCharType="end"/>
            </w:r>
            <w:r w:rsidRPr="00417DAD">
              <w:t xml:space="preserve"> </w:t>
            </w:r>
            <w:r w:rsidRPr="00B07C95">
              <w:t>)</w:t>
            </w:r>
            <w:r>
              <w:t>.</w:t>
            </w:r>
          </w:p>
        </w:tc>
      </w:tr>
      <w:tr w:rsidR="00756385" w:rsidRPr="00810A15" w14:paraId="52C5D95E" w14:textId="77777777" w:rsidTr="009206E5">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FF9624A" w14:textId="77777777" w:rsidR="00756385" w:rsidRPr="003A4D4C" w:rsidRDefault="00756385" w:rsidP="009206E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 xml:space="preserve">Unit </w:t>
            </w:r>
          </w:p>
        </w:tc>
        <w:tc>
          <w:tcPr>
            <w:tcW w:w="8363" w:type="dxa"/>
            <w:tcBorders>
              <w:top w:val="single" w:sz="4" w:space="0" w:color="auto"/>
              <w:left w:val="nil"/>
              <w:bottom w:val="single" w:sz="4" w:space="0" w:color="auto"/>
              <w:right w:val="single" w:sz="4" w:space="0" w:color="auto"/>
            </w:tcBorders>
            <w:shd w:val="clear" w:color="auto" w:fill="auto"/>
          </w:tcPr>
          <w:p w14:paraId="3D3C70F2" w14:textId="77777777" w:rsidR="00756385" w:rsidRPr="00810A15" w:rsidRDefault="00756385" w:rsidP="009206E5">
            <w:r>
              <w:rPr>
                <w:rFonts w:ascii="Calibri" w:eastAsia="Times New Roman" w:hAnsi="Calibri" w:cs="Times New Roman"/>
                <w:color w:val="000000"/>
                <w:szCs w:val="20"/>
                <w:lang w:eastAsia="it-IT"/>
              </w:rPr>
              <w:t>T</w:t>
            </w:r>
            <w:r w:rsidRPr="003A1B0D">
              <w:rPr>
                <w:rFonts w:ascii="Calibri" w:eastAsia="Times New Roman" w:hAnsi="Calibri" w:cs="Times New Roman"/>
                <w:color w:val="000000"/>
                <w:szCs w:val="20"/>
                <w:lang w:eastAsia="it-IT"/>
              </w:rPr>
              <w:t>onnes of CH</w:t>
            </w:r>
            <w:r w:rsidRPr="003A1B0D">
              <w:rPr>
                <w:rFonts w:ascii="Calibri" w:eastAsia="Times New Roman" w:hAnsi="Calibri" w:cs="Times New Roman"/>
                <w:color w:val="000000"/>
                <w:szCs w:val="20"/>
                <w:vertAlign w:val="subscript"/>
                <w:lang w:eastAsia="it-IT"/>
              </w:rPr>
              <w:t xml:space="preserve">4 </w:t>
            </w:r>
            <w:r w:rsidRPr="003A1B0D">
              <w:rPr>
                <w:rFonts w:ascii="Calibri" w:eastAsia="Times New Roman" w:hAnsi="Calibri" w:cs="Times New Roman"/>
                <w:color w:val="000000"/>
                <w:szCs w:val="20"/>
                <w:lang w:eastAsia="it-IT"/>
              </w:rPr>
              <w:t>[t CH</w:t>
            </w:r>
            <w:r w:rsidRPr="003A1B0D">
              <w:rPr>
                <w:rFonts w:ascii="Calibri" w:eastAsia="Times New Roman" w:hAnsi="Calibri" w:cs="Times New Roman"/>
                <w:color w:val="000000"/>
                <w:szCs w:val="20"/>
                <w:vertAlign w:val="subscript"/>
                <w:lang w:eastAsia="it-IT"/>
              </w:rPr>
              <w:t>4</w:t>
            </w:r>
            <w:r w:rsidRPr="003A1B0D">
              <w:rPr>
                <w:rFonts w:ascii="Calibri" w:eastAsia="Times New Roman" w:hAnsi="Calibri" w:cs="Times New Roman"/>
                <w:color w:val="000000"/>
                <w:szCs w:val="20"/>
                <w:lang w:eastAsia="it-IT"/>
              </w:rPr>
              <w:t>].</w:t>
            </w:r>
          </w:p>
        </w:tc>
      </w:tr>
      <w:tr w:rsidR="00756385" w:rsidRPr="00810A15" w14:paraId="1E1097CD" w14:textId="77777777" w:rsidTr="009206E5">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B30C2BE" w14:textId="77777777" w:rsidR="00756385" w:rsidRPr="003A4D4C" w:rsidRDefault="00756385" w:rsidP="009206E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External references</w:t>
            </w:r>
          </w:p>
        </w:tc>
        <w:tc>
          <w:tcPr>
            <w:tcW w:w="8363" w:type="dxa"/>
            <w:tcBorders>
              <w:top w:val="single" w:sz="4" w:space="0" w:color="auto"/>
              <w:left w:val="nil"/>
              <w:bottom w:val="single" w:sz="4" w:space="0" w:color="auto"/>
              <w:right w:val="single" w:sz="4" w:space="0" w:color="auto"/>
            </w:tcBorders>
            <w:shd w:val="clear" w:color="auto" w:fill="auto"/>
          </w:tcPr>
          <w:p w14:paraId="68ABB376" w14:textId="77777777" w:rsidR="00756385" w:rsidRPr="00810A15" w:rsidRDefault="00756385" w:rsidP="009206E5">
            <w:r>
              <w:t>NA</w:t>
            </w:r>
          </w:p>
        </w:tc>
      </w:tr>
    </w:tbl>
    <w:p w14:paraId="7D9C5675" w14:textId="77777777" w:rsidR="00756385" w:rsidRDefault="00756385" w:rsidP="00756385">
      <w:pPr>
        <w:pStyle w:val="NoSpace"/>
      </w:pPr>
    </w:p>
    <w:tbl>
      <w:tblPr>
        <w:tblW w:w="10206" w:type="dxa"/>
        <w:tblInd w:w="-5" w:type="dxa"/>
        <w:tblCellMar>
          <w:left w:w="70" w:type="dxa"/>
          <w:right w:w="70" w:type="dxa"/>
        </w:tblCellMar>
        <w:tblLook w:val="04A0" w:firstRow="1" w:lastRow="0" w:firstColumn="1" w:lastColumn="0" w:noHBand="0" w:noVBand="1"/>
      </w:tblPr>
      <w:tblGrid>
        <w:gridCol w:w="1843"/>
        <w:gridCol w:w="8363"/>
      </w:tblGrid>
      <w:tr w:rsidR="00756385" w:rsidRPr="00810A15" w14:paraId="6AA93043" w14:textId="77777777" w:rsidTr="009206E5">
        <w:trPr>
          <w:trHeight w:val="340"/>
        </w:trPr>
        <w:tc>
          <w:tcPr>
            <w:tcW w:w="1843" w:type="dxa"/>
            <w:tcBorders>
              <w:top w:val="single" w:sz="4" w:space="0" w:color="auto"/>
              <w:left w:val="single" w:sz="4" w:space="0" w:color="auto"/>
              <w:bottom w:val="double" w:sz="6" w:space="0" w:color="auto"/>
              <w:right w:val="single" w:sz="4" w:space="0" w:color="auto"/>
            </w:tcBorders>
            <w:shd w:val="clear" w:color="auto" w:fill="4F81BD" w:themeFill="accent1"/>
            <w:noWrap/>
            <w:vAlign w:val="center"/>
            <w:hideMark/>
          </w:tcPr>
          <w:p w14:paraId="71ADAF2D" w14:textId="77777777" w:rsidR="00756385" w:rsidRPr="003A4D4C" w:rsidRDefault="00756385" w:rsidP="009206E5">
            <w:pPr>
              <w:spacing w:after="0"/>
              <w:jc w:val="center"/>
              <w:rPr>
                <w:rFonts w:ascii="Calibri" w:eastAsia="Times New Roman" w:hAnsi="Calibri" w:cs="Times New Roman"/>
                <w:b/>
                <w:bCs/>
                <w:color w:val="FFFFFF" w:themeColor="background1"/>
                <w:lang w:eastAsia="it-IT"/>
              </w:rPr>
            </w:pPr>
            <w:r>
              <w:rPr>
                <w:rFonts w:ascii="Calibri" w:eastAsia="Times New Roman" w:hAnsi="Calibri" w:cs="Times New Roman"/>
                <w:b/>
                <w:bCs/>
                <w:color w:val="FFFFFF" w:themeColor="background1"/>
                <w:lang w:eastAsia="it-IT"/>
              </w:rPr>
              <w:t>MET.11</w:t>
            </w:r>
          </w:p>
        </w:tc>
        <w:tc>
          <w:tcPr>
            <w:tcW w:w="8363" w:type="dxa"/>
            <w:tcBorders>
              <w:top w:val="single" w:sz="4" w:space="0" w:color="auto"/>
              <w:left w:val="nil"/>
              <w:bottom w:val="double" w:sz="6" w:space="0" w:color="auto"/>
              <w:right w:val="single" w:sz="4" w:space="0" w:color="auto"/>
            </w:tcBorders>
            <w:shd w:val="clear" w:color="auto" w:fill="4F81BD" w:themeFill="accent1"/>
            <w:vAlign w:val="center"/>
            <w:hideMark/>
          </w:tcPr>
          <w:p w14:paraId="2F26481C" w14:textId="77777777" w:rsidR="00756385" w:rsidRPr="003A4D4C" w:rsidRDefault="00756385" w:rsidP="009206E5">
            <w:pPr>
              <w:spacing w:after="0"/>
              <w:rPr>
                <w:rFonts w:ascii="Calibri" w:eastAsia="Times New Roman" w:hAnsi="Calibri" w:cs="Times New Roman"/>
                <w:b/>
                <w:bCs/>
                <w:color w:val="FFFFFF" w:themeColor="background1"/>
                <w:lang w:eastAsia="it-IT"/>
              </w:rPr>
            </w:pPr>
            <w:r w:rsidRPr="00B33AF6">
              <w:rPr>
                <w:b/>
                <w:bCs/>
                <w:color w:val="FFFFFF" w:themeColor="background1"/>
              </w:rPr>
              <w:t>Total operated CH</w:t>
            </w:r>
            <w:r w:rsidRPr="00B33AF6">
              <w:rPr>
                <w:b/>
                <w:bCs/>
                <w:color w:val="FFFFFF" w:themeColor="background1"/>
                <w:vertAlign w:val="subscript"/>
              </w:rPr>
              <w:t>4</w:t>
            </w:r>
            <w:r w:rsidRPr="00B33AF6">
              <w:rPr>
                <w:b/>
                <w:bCs/>
                <w:color w:val="FFFFFF" w:themeColor="background1"/>
              </w:rPr>
              <w:t xml:space="preserve"> emissions – </w:t>
            </w:r>
            <w:r>
              <w:rPr>
                <w:b/>
                <w:bCs/>
                <w:color w:val="FFFFFF" w:themeColor="background1"/>
              </w:rPr>
              <w:t>Upstream</w:t>
            </w:r>
          </w:p>
        </w:tc>
      </w:tr>
      <w:tr w:rsidR="00756385" w:rsidRPr="00810A15" w14:paraId="458AA880" w14:textId="77777777" w:rsidTr="009206E5">
        <w:trPr>
          <w:trHeight w:val="567"/>
        </w:trPr>
        <w:tc>
          <w:tcPr>
            <w:tcW w:w="1843" w:type="dxa"/>
            <w:tcBorders>
              <w:top w:val="nil"/>
              <w:left w:val="single" w:sz="4" w:space="0" w:color="auto"/>
              <w:bottom w:val="single" w:sz="4" w:space="0" w:color="auto"/>
              <w:right w:val="single" w:sz="4" w:space="0" w:color="auto"/>
            </w:tcBorders>
            <w:shd w:val="clear" w:color="auto" w:fill="auto"/>
            <w:hideMark/>
          </w:tcPr>
          <w:p w14:paraId="77AD6F3A" w14:textId="77777777" w:rsidR="00756385" w:rsidRPr="003A4D4C" w:rsidRDefault="00756385" w:rsidP="009206E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Definition and Boundary</w:t>
            </w:r>
          </w:p>
        </w:tc>
        <w:tc>
          <w:tcPr>
            <w:tcW w:w="8363" w:type="dxa"/>
            <w:tcBorders>
              <w:top w:val="nil"/>
              <w:left w:val="nil"/>
              <w:bottom w:val="single" w:sz="4" w:space="0" w:color="auto"/>
              <w:right w:val="single" w:sz="4" w:space="0" w:color="auto"/>
            </w:tcBorders>
            <w:shd w:val="clear" w:color="auto" w:fill="auto"/>
          </w:tcPr>
          <w:p w14:paraId="5390EBB2" w14:textId="77777777" w:rsidR="00756385" w:rsidRDefault="00756385" w:rsidP="009206E5">
            <w:pPr>
              <w:pStyle w:val="NoSpace"/>
            </w:pPr>
            <w:r>
              <w:t>Each company provides its own operated</w:t>
            </w:r>
            <w:r w:rsidRPr="00165395">
              <w:t xml:space="preserve"> </w:t>
            </w:r>
            <w:r>
              <w:t>CH</w:t>
            </w:r>
            <w:r w:rsidRPr="00B33AF6">
              <w:rPr>
                <w:vertAlign w:val="subscript"/>
              </w:rPr>
              <w:t>4</w:t>
            </w:r>
            <w:r>
              <w:t xml:space="preserve"> emissions coming from upstream activities </w:t>
            </w:r>
            <w:r w:rsidRPr="00165395">
              <w:t>along the reporting year</w:t>
            </w:r>
            <w:r>
              <w:t>.</w:t>
            </w:r>
          </w:p>
          <w:p w14:paraId="79AEED98" w14:textId="77777777" w:rsidR="00756385" w:rsidRDefault="00756385" w:rsidP="009206E5">
            <w:pPr>
              <w:pStyle w:val="NoSpace"/>
            </w:pPr>
            <w:r>
              <w:t xml:space="preserve">These emissions should cover </w:t>
            </w:r>
            <w:r w:rsidRPr="00B33AF6">
              <w:t>CH</w:t>
            </w:r>
            <w:r w:rsidRPr="00B33AF6">
              <w:rPr>
                <w:vertAlign w:val="subscript"/>
              </w:rPr>
              <w:t>4</w:t>
            </w:r>
            <w:r w:rsidRPr="00B33AF6">
              <w:t xml:space="preserve"> emissions coming from </w:t>
            </w:r>
            <w:r>
              <w:t xml:space="preserve">all </w:t>
            </w:r>
            <w:r w:rsidRPr="00B33AF6">
              <w:t xml:space="preserve">operational </w:t>
            </w:r>
            <w:r>
              <w:t>upstream activities up to the first point of sale, including LNG liquefaction plants.</w:t>
            </w:r>
          </w:p>
          <w:p w14:paraId="46DDC991" w14:textId="77777777" w:rsidR="00756385" w:rsidRPr="00810A15" w:rsidRDefault="00756385" w:rsidP="009206E5">
            <w:pPr>
              <w:pStyle w:val="NoSpace"/>
            </w:pPr>
            <w:r w:rsidRPr="00371045">
              <w:t>Methane emissions from exploration are assumed to be not material (see annex B – methodological note for methane target)</w:t>
            </w:r>
            <w:r>
              <w:t>.</w:t>
            </w:r>
          </w:p>
        </w:tc>
      </w:tr>
      <w:tr w:rsidR="00756385" w:rsidRPr="00810A15" w14:paraId="453C03CE" w14:textId="77777777" w:rsidTr="009206E5">
        <w:trPr>
          <w:trHeight w:val="340"/>
        </w:trPr>
        <w:tc>
          <w:tcPr>
            <w:tcW w:w="1843" w:type="dxa"/>
            <w:tcBorders>
              <w:top w:val="nil"/>
              <w:left w:val="single" w:sz="4" w:space="0" w:color="auto"/>
              <w:bottom w:val="single" w:sz="4" w:space="0" w:color="auto"/>
              <w:right w:val="single" w:sz="4" w:space="0" w:color="auto"/>
            </w:tcBorders>
            <w:shd w:val="clear" w:color="auto" w:fill="auto"/>
            <w:noWrap/>
            <w:hideMark/>
          </w:tcPr>
          <w:p w14:paraId="736F14C2" w14:textId="77777777" w:rsidR="00756385" w:rsidRPr="003A4D4C" w:rsidRDefault="00756385" w:rsidP="009206E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Methodology</w:t>
            </w:r>
          </w:p>
        </w:tc>
        <w:tc>
          <w:tcPr>
            <w:tcW w:w="8363" w:type="dxa"/>
            <w:tcBorders>
              <w:top w:val="nil"/>
              <w:left w:val="nil"/>
              <w:bottom w:val="single" w:sz="4" w:space="0" w:color="auto"/>
              <w:right w:val="single" w:sz="4" w:space="0" w:color="auto"/>
            </w:tcBorders>
            <w:shd w:val="clear" w:color="auto" w:fill="auto"/>
          </w:tcPr>
          <w:p w14:paraId="077C43A7" w14:textId="77777777" w:rsidR="00756385" w:rsidRPr="00810A15" w:rsidRDefault="00756385" w:rsidP="009206E5">
            <w:pPr>
              <w:pStyle w:val="NoSpace"/>
            </w:pPr>
            <w:r>
              <w:t>Same as MET.1.</w:t>
            </w:r>
          </w:p>
        </w:tc>
      </w:tr>
      <w:tr w:rsidR="00756385" w:rsidRPr="00810A15" w14:paraId="302DB53B" w14:textId="77777777" w:rsidTr="009206E5">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A6AE123" w14:textId="77777777" w:rsidR="00756385" w:rsidRPr="003A4D4C" w:rsidRDefault="00756385" w:rsidP="009206E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 xml:space="preserve">Unit </w:t>
            </w:r>
          </w:p>
        </w:tc>
        <w:tc>
          <w:tcPr>
            <w:tcW w:w="8363" w:type="dxa"/>
            <w:tcBorders>
              <w:top w:val="single" w:sz="4" w:space="0" w:color="auto"/>
              <w:left w:val="nil"/>
              <w:bottom w:val="single" w:sz="4" w:space="0" w:color="auto"/>
              <w:right w:val="single" w:sz="4" w:space="0" w:color="auto"/>
            </w:tcBorders>
            <w:shd w:val="clear" w:color="auto" w:fill="auto"/>
          </w:tcPr>
          <w:p w14:paraId="614BB363" w14:textId="77777777" w:rsidR="00756385" w:rsidRPr="00810A15" w:rsidRDefault="00756385" w:rsidP="009206E5">
            <w:r w:rsidRPr="003A1B0D">
              <w:rPr>
                <w:rFonts w:ascii="Calibri" w:eastAsia="Times New Roman" w:hAnsi="Calibri" w:cs="Times New Roman"/>
                <w:color w:val="000000"/>
                <w:szCs w:val="20"/>
                <w:lang w:eastAsia="it-IT"/>
              </w:rPr>
              <w:t>Same as MET.1.</w:t>
            </w:r>
          </w:p>
        </w:tc>
      </w:tr>
      <w:tr w:rsidR="00756385" w:rsidRPr="00810A15" w14:paraId="0C6A295E" w14:textId="77777777" w:rsidTr="009206E5">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48E7139" w14:textId="77777777" w:rsidR="00756385" w:rsidRPr="003A4D4C" w:rsidRDefault="00756385" w:rsidP="009206E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External references</w:t>
            </w:r>
          </w:p>
        </w:tc>
        <w:tc>
          <w:tcPr>
            <w:tcW w:w="8363" w:type="dxa"/>
            <w:tcBorders>
              <w:top w:val="single" w:sz="4" w:space="0" w:color="auto"/>
              <w:left w:val="nil"/>
              <w:bottom w:val="single" w:sz="4" w:space="0" w:color="auto"/>
              <w:right w:val="single" w:sz="4" w:space="0" w:color="auto"/>
            </w:tcBorders>
            <w:shd w:val="clear" w:color="auto" w:fill="auto"/>
          </w:tcPr>
          <w:p w14:paraId="479A7AE9" w14:textId="77777777" w:rsidR="00756385" w:rsidRPr="00810A15" w:rsidRDefault="00756385" w:rsidP="009206E5">
            <w:r w:rsidRPr="00AC5AE2">
              <w:t>CCAC-OMGP guidance</w:t>
            </w:r>
          </w:p>
        </w:tc>
      </w:tr>
    </w:tbl>
    <w:p w14:paraId="5FC1C421" w14:textId="77777777" w:rsidR="00756385" w:rsidRDefault="00756385" w:rsidP="00756385">
      <w:pPr>
        <w:pStyle w:val="NoSpace"/>
      </w:pPr>
    </w:p>
    <w:tbl>
      <w:tblPr>
        <w:tblW w:w="10206" w:type="dxa"/>
        <w:tblInd w:w="-5" w:type="dxa"/>
        <w:tblCellMar>
          <w:left w:w="70" w:type="dxa"/>
          <w:right w:w="70" w:type="dxa"/>
        </w:tblCellMar>
        <w:tblLook w:val="04A0" w:firstRow="1" w:lastRow="0" w:firstColumn="1" w:lastColumn="0" w:noHBand="0" w:noVBand="1"/>
      </w:tblPr>
      <w:tblGrid>
        <w:gridCol w:w="1843"/>
        <w:gridCol w:w="8363"/>
      </w:tblGrid>
      <w:tr w:rsidR="00756385" w:rsidRPr="00810A15" w14:paraId="43F09E8C" w14:textId="77777777" w:rsidTr="009206E5">
        <w:trPr>
          <w:trHeight w:val="340"/>
        </w:trPr>
        <w:tc>
          <w:tcPr>
            <w:tcW w:w="1843" w:type="dxa"/>
            <w:tcBorders>
              <w:top w:val="single" w:sz="4" w:space="0" w:color="auto"/>
              <w:left w:val="single" w:sz="4" w:space="0" w:color="auto"/>
              <w:bottom w:val="double" w:sz="6" w:space="0" w:color="auto"/>
              <w:right w:val="single" w:sz="4" w:space="0" w:color="auto"/>
            </w:tcBorders>
            <w:shd w:val="clear" w:color="auto" w:fill="4F81BD" w:themeFill="accent1"/>
            <w:noWrap/>
            <w:vAlign w:val="center"/>
            <w:hideMark/>
          </w:tcPr>
          <w:p w14:paraId="293F5432" w14:textId="77777777" w:rsidR="00756385" w:rsidRPr="003A4D4C" w:rsidRDefault="00756385" w:rsidP="009206E5">
            <w:pPr>
              <w:spacing w:after="0"/>
              <w:jc w:val="center"/>
              <w:rPr>
                <w:rFonts w:ascii="Calibri" w:eastAsia="Times New Roman" w:hAnsi="Calibri" w:cs="Times New Roman"/>
                <w:b/>
                <w:bCs/>
                <w:color w:val="FFFFFF" w:themeColor="background1"/>
                <w:lang w:eastAsia="it-IT"/>
              </w:rPr>
            </w:pPr>
            <w:r>
              <w:rPr>
                <w:rFonts w:ascii="Calibri" w:eastAsia="Times New Roman" w:hAnsi="Calibri" w:cs="Times New Roman"/>
                <w:b/>
                <w:bCs/>
                <w:color w:val="FFFFFF" w:themeColor="background1"/>
                <w:lang w:eastAsia="it-IT"/>
              </w:rPr>
              <w:t>MET</w:t>
            </w:r>
          </w:p>
        </w:tc>
        <w:tc>
          <w:tcPr>
            <w:tcW w:w="8363" w:type="dxa"/>
            <w:tcBorders>
              <w:top w:val="single" w:sz="4" w:space="0" w:color="auto"/>
              <w:left w:val="nil"/>
              <w:bottom w:val="double" w:sz="6" w:space="0" w:color="auto"/>
              <w:right w:val="single" w:sz="4" w:space="0" w:color="auto"/>
            </w:tcBorders>
            <w:shd w:val="clear" w:color="auto" w:fill="4F81BD" w:themeFill="accent1"/>
            <w:vAlign w:val="center"/>
            <w:hideMark/>
          </w:tcPr>
          <w:p w14:paraId="7D8DCCA4" w14:textId="77777777" w:rsidR="00756385" w:rsidRPr="003A4D4C" w:rsidRDefault="00756385" w:rsidP="009206E5">
            <w:pPr>
              <w:spacing w:after="0"/>
              <w:rPr>
                <w:rFonts w:ascii="Calibri" w:eastAsia="Times New Roman" w:hAnsi="Calibri" w:cs="Times New Roman"/>
                <w:b/>
                <w:bCs/>
                <w:color w:val="FFFFFF" w:themeColor="background1"/>
                <w:lang w:eastAsia="it-IT"/>
              </w:rPr>
            </w:pPr>
            <w:r w:rsidRPr="0020455B">
              <w:rPr>
                <w:b/>
                <w:bCs/>
                <w:color w:val="FFFFFF" w:themeColor="background1"/>
              </w:rPr>
              <w:t>Upstream methane intensity</w:t>
            </w:r>
          </w:p>
        </w:tc>
      </w:tr>
      <w:tr w:rsidR="00756385" w:rsidRPr="00810A15" w14:paraId="6CC345C2" w14:textId="77777777" w:rsidTr="009206E5">
        <w:trPr>
          <w:trHeight w:val="567"/>
        </w:trPr>
        <w:tc>
          <w:tcPr>
            <w:tcW w:w="1843" w:type="dxa"/>
            <w:tcBorders>
              <w:top w:val="nil"/>
              <w:left w:val="single" w:sz="4" w:space="0" w:color="auto"/>
              <w:bottom w:val="single" w:sz="4" w:space="0" w:color="auto"/>
              <w:right w:val="single" w:sz="4" w:space="0" w:color="auto"/>
            </w:tcBorders>
            <w:shd w:val="clear" w:color="auto" w:fill="auto"/>
            <w:hideMark/>
          </w:tcPr>
          <w:p w14:paraId="00FF3B27" w14:textId="77777777" w:rsidR="00756385" w:rsidRPr="003A4D4C" w:rsidRDefault="00756385" w:rsidP="009206E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Definition and Boundary</w:t>
            </w:r>
          </w:p>
        </w:tc>
        <w:tc>
          <w:tcPr>
            <w:tcW w:w="8363" w:type="dxa"/>
            <w:tcBorders>
              <w:top w:val="nil"/>
              <w:left w:val="nil"/>
              <w:bottom w:val="single" w:sz="4" w:space="0" w:color="auto"/>
              <w:right w:val="single" w:sz="4" w:space="0" w:color="auto"/>
            </w:tcBorders>
            <w:shd w:val="clear" w:color="auto" w:fill="auto"/>
            <w:hideMark/>
          </w:tcPr>
          <w:p w14:paraId="5A8CF5EC" w14:textId="15D56B1C" w:rsidR="00756385" w:rsidRPr="00810A15" w:rsidRDefault="00756385" w:rsidP="009206E5">
            <w:pPr>
              <w:pStyle w:val="NoSpace"/>
              <w:jc w:val="left"/>
            </w:pPr>
            <w:r>
              <w:t>This indicator is calculated at the OGCI consolidated level</w:t>
            </w:r>
            <w:r w:rsidR="0038627F">
              <w:t>.</w:t>
            </w:r>
          </w:p>
        </w:tc>
      </w:tr>
      <w:tr w:rsidR="00756385" w:rsidRPr="00810A15" w14:paraId="2BE87B4D" w14:textId="77777777" w:rsidTr="009206E5">
        <w:trPr>
          <w:trHeight w:val="340"/>
        </w:trPr>
        <w:tc>
          <w:tcPr>
            <w:tcW w:w="1843" w:type="dxa"/>
            <w:tcBorders>
              <w:top w:val="nil"/>
              <w:left w:val="single" w:sz="4" w:space="0" w:color="auto"/>
              <w:bottom w:val="single" w:sz="4" w:space="0" w:color="auto"/>
              <w:right w:val="single" w:sz="4" w:space="0" w:color="auto"/>
            </w:tcBorders>
            <w:shd w:val="clear" w:color="auto" w:fill="auto"/>
            <w:noWrap/>
            <w:hideMark/>
          </w:tcPr>
          <w:p w14:paraId="1A5825C8" w14:textId="77777777" w:rsidR="00756385" w:rsidRPr="003A4D4C" w:rsidRDefault="00756385" w:rsidP="009206E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Methodology</w:t>
            </w:r>
          </w:p>
        </w:tc>
        <w:tc>
          <w:tcPr>
            <w:tcW w:w="8363" w:type="dxa"/>
            <w:tcBorders>
              <w:top w:val="nil"/>
              <w:left w:val="nil"/>
              <w:bottom w:val="single" w:sz="4" w:space="0" w:color="auto"/>
              <w:right w:val="single" w:sz="4" w:space="0" w:color="auto"/>
            </w:tcBorders>
            <w:shd w:val="clear" w:color="auto" w:fill="auto"/>
            <w:hideMark/>
          </w:tcPr>
          <w:p w14:paraId="42AE1856" w14:textId="377AD129" w:rsidR="00756385" w:rsidRPr="00810A15" w:rsidRDefault="00756385" w:rsidP="009206E5">
            <w:pPr>
              <w:pStyle w:val="NoSpace"/>
              <w:jc w:val="left"/>
            </w:pPr>
            <w:r>
              <w:t>(See Section 9 p.</w:t>
            </w:r>
            <w:r w:rsidR="000978B7">
              <w:t>24</w:t>
            </w:r>
            <w:r>
              <w:t>)</w:t>
            </w:r>
          </w:p>
        </w:tc>
      </w:tr>
      <w:tr w:rsidR="00756385" w:rsidRPr="00810A15" w14:paraId="5B3CEDD7" w14:textId="77777777" w:rsidTr="009206E5">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0CF0D92" w14:textId="77777777" w:rsidR="00756385" w:rsidRPr="003A4D4C" w:rsidRDefault="00756385" w:rsidP="009206E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 xml:space="preserve">Unit </w:t>
            </w:r>
          </w:p>
        </w:tc>
        <w:tc>
          <w:tcPr>
            <w:tcW w:w="8363" w:type="dxa"/>
            <w:tcBorders>
              <w:top w:val="single" w:sz="4" w:space="0" w:color="auto"/>
              <w:left w:val="nil"/>
              <w:bottom w:val="single" w:sz="4" w:space="0" w:color="auto"/>
              <w:right w:val="single" w:sz="4" w:space="0" w:color="auto"/>
            </w:tcBorders>
            <w:shd w:val="clear" w:color="auto" w:fill="auto"/>
            <w:hideMark/>
          </w:tcPr>
          <w:p w14:paraId="72485049" w14:textId="77777777" w:rsidR="00756385" w:rsidRPr="00810A15" w:rsidRDefault="00756385" w:rsidP="009206E5">
            <w:pPr>
              <w:pStyle w:val="NoSpace"/>
              <w:jc w:val="left"/>
            </w:pPr>
            <w:r>
              <w:t>NA</w:t>
            </w:r>
          </w:p>
        </w:tc>
      </w:tr>
      <w:tr w:rsidR="00756385" w:rsidRPr="00810A15" w14:paraId="3A913E02" w14:textId="77777777" w:rsidTr="009206E5">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B7D2B8B" w14:textId="77777777" w:rsidR="00756385" w:rsidRPr="003A4D4C" w:rsidRDefault="00756385" w:rsidP="009206E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External references</w:t>
            </w:r>
          </w:p>
        </w:tc>
        <w:tc>
          <w:tcPr>
            <w:tcW w:w="8363" w:type="dxa"/>
            <w:tcBorders>
              <w:top w:val="single" w:sz="4" w:space="0" w:color="auto"/>
              <w:left w:val="nil"/>
              <w:bottom w:val="single" w:sz="4" w:space="0" w:color="auto"/>
              <w:right w:val="single" w:sz="4" w:space="0" w:color="auto"/>
            </w:tcBorders>
            <w:shd w:val="clear" w:color="auto" w:fill="auto"/>
          </w:tcPr>
          <w:p w14:paraId="1BFC568E" w14:textId="77777777" w:rsidR="00756385" w:rsidRPr="00810A15" w:rsidRDefault="00756385" w:rsidP="009206E5">
            <w:pPr>
              <w:pStyle w:val="NoSpace"/>
              <w:jc w:val="left"/>
            </w:pPr>
            <w:r>
              <w:t>NA</w:t>
            </w:r>
          </w:p>
        </w:tc>
      </w:tr>
    </w:tbl>
    <w:p w14:paraId="0627ADCB" w14:textId="1BD2DED9" w:rsidR="002620A0" w:rsidRPr="000C43EE" w:rsidRDefault="002620A0" w:rsidP="003E111D">
      <w:pPr>
        <w:spacing w:after="0"/>
        <w:rPr>
          <w:sz w:val="10"/>
          <w:szCs w:val="12"/>
          <w:lang w:eastAsia="fr-FR"/>
        </w:rPr>
      </w:pPr>
    </w:p>
    <w:p w14:paraId="2FBFDB99" w14:textId="77777777" w:rsidR="00CB27FC" w:rsidRDefault="00CB27FC" w:rsidP="003E111D">
      <w:pPr>
        <w:spacing w:after="0"/>
        <w:rPr>
          <w:lang w:eastAsia="fr-FR"/>
        </w:rPr>
      </w:pPr>
    </w:p>
    <w:p w14:paraId="2613EA87" w14:textId="04888A59" w:rsidR="00CB6AB0" w:rsidRDefault="00AD3BE5" w:rsidP="005C77BD">
      <w:pPr>
        <w:pStyle w:val="Heading2"/>
      </w:pPr>
      <w:r>
        <w:t>Flaring</w:t>
      </w:r>
    </w:p>
    <w:tbl>
      <w:tblPr>
        <w:tblW w:w="10206" w:type="dxa"/>
        <w:tblInd w:w="-5" w:type="dxa"/>
        <w:tblCellMar>
          <w:left w:w="70" w:type="dxa"/>
          <w:right w:w="70" w:type="dxa"/>
        </w:tblCellMar>
        <w:tblLook w:val="04A0" w:firstRow="1" w:lastRow="0" w:firstColumn="1" w:lastColumn="0" w:noHBand="0" w:noVBand="1"/>
      </w:tblPr>
      <w:tblGrid>
        <w:gridCol w:w="1843"/>
        <w:gridCol w:w="8363"/>
      </w:tblGrid>
      <w:tr w:rsidR="00D31B31" w:rsidRPr="00810A15" w14:paraId="1B99567D" w14:textId="77777777" w:rsidTr="00F005BE">
        <w:trPr>
          <w:trHeight w:val="340"/>
        </w:trPr>
        <w:tc>
          <w:tcPr>
            <w:tcW w:w="1843" w:type="dxa"/>
            <w:tcBorders>
              <w:top w:val="single" w:sz="4" w:space="0" w:color="auto"/>
              <w:left w:val="single" w:sz="4" w:space="0" w:color="auto"/>
              <w:bottom w:val="double" w:sz="6" w:space="0" w:color="auto"/>
              <w:right w:val="single" w:sz="4" w:space="0" w:color="auto"/>
            </w:tcBorders>
            <w:shd w:val="clear" w:color="auto" w:fill="4F81BD" w:themeFill="accent1"/>
            <w:noWrap/>
            <w:vAlign w:val="center"/>
            <w:hideMark/>
          </w:tcPr>
          <w:p w14:paraId="4452005D" w14:textId="26D7234D" w:rsidR="00D31B31" w:rsidRPr="003A4D4C" w:rsidRDefault="00D31B31" w:rsidP="00644A15">
            <w:pPr>
              <w:spacing w:after="0"/>
              <w:jc w:val="center"/>
              <w:rPr>
                <w:rFonts w:ascii="Calibri" w:eastAsia="Times New Roman" w:hAnsi="Calibri" w:cs="Times New Roman"/>
                <w:b/>
                <w:bCs/>
                <w:color w:val="FFFFFF" w:themeColor="background1"/>
                <w:lang w:eastAsia="it-IT"/>
              </w:rPr>
            </w:pPr>
            <w:r>
              <w:rPr>
                <w:rFonts w:ascii="Calibri" w:eastAsia="Times New Roman" w:hAnsi="Calibri" w:cs="Times New Roman"/>
                <w:b/>
                <w:bCs/>
                <w:color w:val="FFFFFF" w:themeColor="background1"/>
                <w:lang w:eastAsia="it-IT"/>
              </w:rPr>
              <w:t>FLA.1</w:t>
            </w:r>
          </w:p>
        </w:tc>
        <w:tc>
          <w:tcPr>
            <w:tcW w:w="8363" w:type="dxa"/>
            <w:tcBorders>
              <w:top w:val="single" w:sz="4" w:space="0" w:color="auto"/>
              <w:left w:val="nil"/>
              <w:bottom w:val="double" w:sz="6" w:space="0" w:color="auto"/>
              <w:right w:val="single" w:sz="4" w:space="0" w:color="auto"/>
            </w:tcBorders>
            <w:shd w:val="clear" w:color="auto" w:fill="4F81BD" w:themeFill="accent1"/>
            <w:vAlign w:val="center"/>
            <w:hideMark/>
          </w:tcPr>
          <w:p w14:paraId="18E4C654" w14:textId="3D8AE9DB" w:rsidR="00D31B31" w:rsidRPr="003A4D4C" w:rsidRDefault="00D31B31" w:rsidP="00644A15">
            <w:pPr>
              <w:spacing w:after="0"/>
              <w:rPr>
                <w:rFonts w:ascii="Calibri" w:eastAsia="Times New Roman" w:hAnsi="Calibri" w:cs="Times New Roman"/>
                <w:b/>
                <w:bCs/>
                <w:color w:val="FFFFFF" w:themeColor="background1"/>
                <w:lang w:eastAsia="it-IT"/>
              </w:rPr>
            </w:pPr>
            <w:r w:rsidRPr="00D31B31">
              <w:rPr>
                <w:b/>
                <w:bCs/>
                <w:color w:val="FFFFFF" w:themeColor="background1"/>
              </w:rPr>
              <w:t>Total gas flared</w:t>
            </w:r>
            <w:r>
              <w:rPr>
                <w:b/>
                <w:bCs/>
                <w:color w:val="FFFFFF" w:themeColor="background1"/>
              </w:rPr>
              <w:t xml:space="preserve"> </w:t>
            </w:r>
            <w:r w:rsidRPr="00D31B31">
              <w:rPr>
                <w:b/>
                <w:bCs/>
                <w:color w:val="FFFFFF" w:themeColor="background1"/>
              </w:rPr>
              <w:t xml:space="preserve">– </w:t>
            </w:r>
            <w:r>
              <w:rPr>
                <w:b/>
                <w:bCs/>
                <w:color w:val="FFFFFF" w:themeColor="background1"/>
              </w:rPr>
              <w:t>U</w:t>
            </w:r>
            <w:r w:rsidRPr="00D31B31">
              <w:rPr>
                <w:b/>
                <w:bCs/>
                <w:color w:val="FFFFFF" w:themeColor="background1"/>
              </w:rPr>
              <w:t>pstream</w:t>
            </w:r>
          </w:p>
        </w:tc>
      </w:tr>
      <w:tr w:rsidR="00D31B31" w:rsidRPr="00810A15" w14:paraId="60974616" w14:textId="77777777" w:rsidTr="00C819F2">
        <w:trPr>
          <w:trHeight w:val="567"/>
        </w:trPr>
        <w:tc>
          <w:tcPr>
            <w:tcW w:w="1843" w:type="dxa"/>
            <w:tcBorders>
              <w:top w:val="nil"/>
              <w:left w:val="single" w:sz="4" w:space="0" w:color="auto"/>
              <w:bottom w:val="single" w:sz="4" w:space="0" w:color="auto"/>
              <w:right w:val="single" w:sz="4" w:space="0" w:color="auto"/>
            </w:tcBorders>
            <w:shd w:val="clear" w:color="auto" w:fill="auto"/>
            <w:hideMark/>
          </w:tcPr>
          <w:p w14:paraId="6497C84F" w14:textId="77777777" w:rsidR="00D31B31" w:rsidRPr="003A4D4C" w:rsidRDefault="00D31B31" w:rsidP="00644A1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Definition and Boundary</w:t>
            </w:r>
          </w:p>
        </w:tc>
        <w:tc>
          <w:tcPr>
            <w:tcW w:w="8363" w:type="dxa"/>
            <w:tcBorders>
              <w:top w:val="nil"/>
              <w:left w:val="nil"/>
              <w:bottom w:val="single" w:sz="4" w:space="0" w:color="auto"/>
              <w:right w:val="single" w:sz="4" w:space="0" w:color="auto"/>
            </w:tcBorders>
            <w:shd w:val="clear" w:color="auto" w:fill="auto"/>
          </w:tcPr>
          <w:p w14:paraId="4BA069F8" w14:textId="1D951F71" w:rsidR="00D31B31" w:rsidRDefault="00D31B31" w:rsidP="00D31B31">
            <w:pPr>
              <w:pStyle w:val="NoSpace"/>
            </w:pPr>
            <w:r>
              <w:t>Each company provides its v</w:t>
            </w:r>
            <w:r w:rsidRPr="00D31B31">
              <w:t>olume of gas directed to operational flare systems, wherein the gas is consumed through combustion</w:t>
            </w:r>
            <w:r>
              <w:t>.</w:t>
            </w:r>
          </w:p>
          <w:p w14:paraId="2DEC62CE" w14:textId="04B8607B" w:rsidR="00D31B31" w:rsidRPr="00810A15" w:rsidRDefault="00D31B31" w:rsidP="00457E72">
            <w:pPr>
              <w:pStyle w:val="NoSpace"/>
            </w:pPr>
            <w:r>
              <w:t>This indicator covers only the flaring from operated upstream activities.</w:t>
            </w:r>
          </w:p>
        </w:tc>
      </w:tr>
      <w:tr w:rsidR="00D31B31" w:rsidRPr="00810A15" w14:paraId="083B5EEB" w14:textId="77777777" w:rsidTr="00C819F2">
        <w:trPr>
          <w:trHeight w:val="397"/>
        </w:trPr>
        <w:tc>
          <w:tcPr>
            <w:tcW w:w="1843" w:type="dxa"/>
            <w:tcBorders>
              <w:top w:val="nil"/>
              <w:left w:val="single" w:sz="4" w:space="0" w:color="auto"/>
              <w:bottom w:val="single" w:sz="4" w:space="0" w:color="auto"/>
              <w:right w:val="single" w:sz="4" w:space="0" w:color="auto"/>
            </w:tcBorders>
            <w:shd w:val="clear" w:color="auto" w:fill="auto"/>
            <w:noWrap/>
            <w:hideMark/>
          </w:tcPr>
          <w:p w14:paraId="26689E40" w14:textId="77777777" w:rsidR="00D31B31" w:rsidRPr="003A4D4C" w:rsidRDefault="00D31B31" w:rsidP="00644A1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Methodology</w:t>
            </w:r>
          </w:p>
        </w:tc>
        <w:tc>
          <w:tcPr>
            <w:tcW w:w="8363" w:type="dxa"/>
            <w:tcBorders>
              <w:top w:val="nil"/>
              <w:left w:val="nil"/>
              <w:bottom w:val="single" w:sz="4" w:space="0" w:color="auto"/>
              <w:right w:val="single" w:sz="4" w:space="0" w:color="auto"/>
            </w:tcBorders>
            <w:shd w:val="clear" w:color="auto" w:fill="auto"/>
          </w:tcPr>
          <w:p w14:paraId="1B55D9E9" w14:textId="538A1044" w:rsidR="00D31B31" w:rsidRDefault="00D31B31" w:rsidP="008B651C">
            <w:pPr>
              <w:pStyle w:val="NoSpace"/>
            </w:pPr>
            <w:r w:rsidRPr="00973019">
              <w:t>Companies can use the same methodology approach used for their public reporting of GHG emissions in other relevant documentation (</w:t>
            </w:r>
            <w:proofErr w:type="spellStart"/>
            <w:r w:rsidRPr="00973019">
              <w:t>e</w:t>
            </w:r>
            <w:r w:rsidR="00A01208">
              <w:t>SS</w:t>
            </w:r>
            <w:r w:rsidRPr="00973019">
              <w:t>.g</w:t>
            </w:r>
            <w:proofErr w:type="spellEnd"/>
            <w:r w:rsidRPr="00973019">
              <w:t>. Annual Report, Sustainability Report, etc</w:t>
            </w:r>
            <w:r>
              <w:t>.</w:t>
            </w:r>
            <w:r w:rsidRPr="00973019">
              <w:t xml:space="preserve">), assuming however that the figure is </w:t>
            </w:r>
            <w:r w:rsidR="00E00300">
              <w:t>based upon</w:t>
            </w:r>
            <w:r w:rsidRPr="00973019">
              <w:t xml:space="preserve"> the operational approach</w:t>
            </w:r>
            <w:r>
              <w:t>.</w:t>
            </w:r>
          </w:p>
          <w:p w14:paraId="168BB214" w14:textId="28E42F11" w:rsidR="00150FDF" w:rsidRPr="00810A15" w:rsidRDefault="00150FDF" w:rsidP="008B651C">
            <w:pPr>
              <w:pStyle w:val="NoSpace"/>
            </w:pPr>
            <w:r>
              <w:t xml:space="preserve">Companies </w:t>
            </w:r>
            <w:r w:rsidR="00417DAD">
              <w:t>should</w:t>
            </w:r>
            <w:r>
              <w:t xml:space="preserve"> ensure that FLA.1 = FLA.11 + FLA.12</w:t>
            </w:r>
          </w:p>
        </w:tc>
      </w:tr>
      <w:tr w:rsidR="00D31B31" w:rsidRPr="00810A15" w14:paraId="18099132" w14:textId="77777777" w:rsidTr="00C819F2">
        <w:trPr>
          <w:trHeight w:val="397"/>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8B512F1" w14:textId="54EE5BB8" w:rsidR="00D31B31" w:rsidRPr="003A4D4C" w:rsidRDefault="00D31B31" w:rsidP="00644A1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 xml:space="preserve">Unit </w:t>
            </w:r>
          </w:p>
        </w:tc>
        <w:tc>
          <w:tcPr>
            <w:tcW w:w="8363" w:type="dxa"/>
            <w:tcBorders>
              <w:top w:val="single" w:sz="4" w:space="0" w:color="auto"/>
              <w:left w:val="nil"/>
              <w:bottom w:val="single" w:sz="4" w:space="0" w:color="auto"/>
              <w:right w:val="single" w:sz="4" w:space="0" w:color="auto"/>
            </w:tcBorders>
            <w:shd w:val="clear" w:color="auto" w:fill="auto"/>
          </w:tcPr>
          <w:p w14:paraId="74CE06B4" w14:textId="77777777" w:rsidR="00D31B31" w:rsidRDefault="00B55625" w:rsidP="00C819F2">
            <w:pPr>
              <w:pStyle w:val="NoSpace"/>
            </w:pPr>
            <w:r>
              <w:t>Companies can r</w:t>
            </w:r>
            <w:r w:rsidRPr="00B07C95">
              <w:t xml:space="preserve">eport in </w:t>
            </w:r>
            <w:r>
              <w:t>their internal reporting units (</w:t>
            </w:r>
            <w:proofErr w:type="gramStart"/>
            <w:r>
              <w:t>e.g.</w:t>
            </w:r>
            <w:proofErr w:type="gramEnd"/>
            <w:r>
              <w:t xml:space="preserve"> MMSm</w:t>
            </w:r>
            <w:r>
              <w:rPr>
                <w:vertAlign w:val="superscript"/>
              </w:rPr>
              <w:t>3</w:t>
            </w:r>
            <w:r>
              <w:t xml:space="preserve">, </w:t>
            </w:r>
            <w:proofErr w:type="spellStart"/>
            <w:r>
              <w:t>Bscf</w:t>
            </w:r>
            <w:proofErr w:type="spellEnd"/>
            <w:r>
              <w:t>) and specify the unit in the dedicated field.</w:t>
            </w:r>
          </w:p>
          <w:p w14:paraId="05A4A2E3" w14:textId="3BCE95AD" w:rsidR="005F6E40" w:rsidRPr="00810A15" w:rsidRDefault="005F6E40" w:rsidP="00C819F2">
            <w:pPr>
              <w:pStyle w:val="NoSpace"/>
            </w:pPr>
            <w:r>
              <w:t>The aggregated OGCI indicator is reported in Mm</w:t>
            </w:r>
            <w:r w:rsidRPr="006D5608">
              <w:rPr>
                <w:vertAlign w:val="superscript"/>
              </w:rPr>
              <w:t>3</w:t>
            </w:r>
            <w:r>
              <w:t xml:space="preserve"> (See </w:t>
            </w:r>
            <w:r>
              <w:fldChar w:fldCharType="begin"/>
            </w:r>
            <w:r>
              <w:instrText xml:space="preserve"> REF _Ref19181280 \h </w:instrText>
            </w:r>
            <w:r>
              <w:fldChar w:fldCharType="separate"/>
            </w:r>
            <w:r w:rsidR="00120F27">
              <w:rPr>
                <w:lang w:eastAsia="fr-FR"/>
              </w:rPr>
              <w:t>Appendix B – Calculation and conversion factors</w:t>
            </w:r>
            <w:r>
              <w:fldChar w:fldCharType="end"/>
            </w:r>
            <w:r>
              <w:t xml:space="preserve"> ).</w:t>
            </w:r>
          </w:p>
        </w:tc>
      </w:tr>
      <w:tr w:rsidR="00D31B31" w:rsidRPr="00810A15" w14:paraId="3D093B48" w14:textId="77777777" w:rsidTr="00644A15">
        <w:trPr>
          <w:trHeight w:val="397"/>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213DD84" w14:textId="77777777" w:rsidR="00D31B31" w:rsidRPr="003A4D4C" w:rsidRDefault="00D31B31" w:rsidP="00644A15">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External references</w:t>
            </w:r>
          </w:p>
        </w:tc>
        <w:tc>
          <w:tcPr>
            <w:tcW w:w="8363" w:type="dxa"/>
            <w:tcBorders>
              <w:top w:val="single" w:sz="4" w:space="0" w:color="auto"/>
              <w:left w:val="nil"/>
              <w:bottom w:val="single" w:sz="4" w:space="0" w:color="auto"/>
              <w:right w:val="single" w:sz="4" w:space="0" w:color="auto"/>
            </w:tcBorders>
            <w:shd w:val="clear" w:color="auto" w:fill="auto"/>
          </w:tcPr>
          <w:p w14:paraId="588FB225" w14:textId="77777777" w:rsidR="00B55625" w:rsidRPr="00A3019F" w:rsidRDefault="00B55625" w:rsidP="0035559C">
            <w:pPr>
              <w:pStyle w:val="ListParagraph"/>
              <w:numPr>
                <w:ilvl w:val="0"/>
                <w:numId w:val="19"/>
              </w:numPr>
              <w:rPr>
                <w:lang w:eastAsia="it-IT"/>
              </w:rPr>
            </w:pPr>
            <w:r w:rsidRPr="00A3019F">
              <w:rPr>
                <w:lang w:eastAsia="it-IT"/>
              </w:rPr>
              <w:t>IPIECA O&amp;G Industry Guidance on Voluntary Sustainability Reporting: indicator E4</w:t>
            </w:r>
          </w:p>
          <w:p w14:paraId="3C4EBCAE" w14:textId="77777777" w:rsidR="00D31B31" w:rsidRDefault="00B55625" w:rsidP="0035559C">
            <w:pPr>
              <w:pStyle w:val="ListParagraph"/>
              <w:numPr>
                <w:ilvl w:val="0"/>
                <w:numId w:val="19"/>
              </w:numPr>
            </w:pPr>
            <w:r w:rsidRPr="00A3019F">
              <w:rPr>
                <w:lang w:eastAsia="it-IT"/>
              </w:rPr>
              <w:t>IPIECA Climate Change Reporting Framework: Topic 9</w:t>
            </w:r>
          </w:p>
          <w:p w14:paraId="0F25ED31" w14:textId="1589CB3B" w:rsidR="00BF7B44" w:rsidRPr="00810A15" w:rsidRDefault="00BF7B44" w:rsidP="0035559C">
            <w:pPr>
              <w:pStyle w:val="ListParagraph"/>
              <w:numPr>
                <w:ilvl w:val="0"/>
                <w:numId w:val="19"/>
              </w:numPr>
            </w:pPr>
            <w:r w:rsidRPr="00BF7B44">
              <w:t>Global Gas Flaring Reduction Partnership – Gas flaring definitions 2016</w:t>
            </w:r>
          </w:p>
        </w:tc>
      </w:tr>
    </w:tbl>
    <w:p w14:paraId="1A08ADB5" w14:textId="2C76BD11" w:rsidR="005204AF" w:rsidRDefault="005204AF" w:rsidP="00F005BE">
      <w:pPr>
        <w:pStyle w:val="NoSpace"/>
      </w:pPr>
    </w:p>
    <w:tbl>
      <w:tblPr>
        <w:tblW w:w="10206" w:type="dxa"/>
        <w:tblInd w:w="-5" w:type="dxa"/>
        <w:tblCellMar>
          <w:left w:w="70" w:type="dxa"/>
          <w:right w:w="70" w:type="dxa"/>
        </w:tblCellMar>
        <w:tblLook w:val="04A0" w:firstRow="1" w:lastRow="0" w:firstColumn="1" w:lastColumn="0" w:noHBand="0" w:noVBand="1"/>
      </w:tblPr>
      <w:tblGrid>
        <w:gridCol w:w="1843"/>
        <w:gridCol w:w="8363"/>
      </w:tblGrid>
      <w:tr w:rsidR="00616CE0" w:rsidRPr="00810A15" w14:paraId="2563533C" w14:textId="77777777" w:rsidTr="001429C8">
        <w:trPr>
          <w:trHeight w:val="397"/>
        </w:trPr>
        <w:tc>
          <w:tcPr>
            <w:tcW w:w="1843" w:type="dxa"/>
            <w:tcBorders>
              <w:top w:val="single" w:sz="4" w:space="0" w:color="auto"/>
              <w:left w:val="single" w:sz="4" w:space="0" w:color="auto"/>
              <w:bottom w:val="double" w:sz="6" w:space="0" w:color="auto"/>
              <w:right w:val="single" w:sz="4" w:space="0" w:color="auto"/>
            </w:tcBorders>
            <w:shd w:val="clear" w:color="auto" w:fill="4F81BD" w:themeFill="accent1"/>
            <w:noWrap/>
            <w:vAlign w:val="center"/>
            <w:hideMark/>
          </w:tcPr>
          <w:p w14:paraId="4E5C0053" w14:textId="77777777" w:rsidR="00616CE0" w:rsidRPr="003A4D4C" w:rsidRDefault="00616CE0" w:rsidP="001429C8">
            <w:pPr>
              <w:spacing w:after="0"/>
              <w:jc w:val="center"/>
              <w:rPr>
                <w:rFonts w:ascii="Calibri" w:eastAsia="Times New Roman" w:hAnsi="Calibri" w:cs="Times New Roman"/>
                <w:b/>
                <w:bCs/>
                <w:color w:val="FFFFFF" w:themeColor="background1"/>
                <w:lang w:eastAsia="it-IT"/>
              </w:rPr>
            </w:pPr>
            <w:r>
              <w:rPr>
                <w:rFonts w:ascii="Calibri" w:eastAsia="Times New Roman" w:hAnsi="Calibri" w:cs="Times New Roman"/>
                <w:b/>
                <w:bCs/>
                <w:color w:val="FFFFFF" w:themeColor="background1"/>
                <w:lang w:eastAsia="it-IT"/>
              </w:rPr>
              <w:lastRenderedPageBreak/>
              <w:t>FLA.11</w:t>
            </w:r>
          </w:p>
        </w:tc>
        <w:tc>
          <w:tcPr>
            <w:tcW w:w="8363" w:type="dxa"/>
            <w:tcBorders>
              <w:top w:val="single" w:sz="4" w:space="0" w:color="auto"/>
              <w:left w:val="nil"/>
              <w:bottom w:val="double" w:sz="6" w:space="0" w:color="auto"/>
              <w:right w:val="single" w:sz="4" w:space="0" w:color="auto"/>
            </w:tcBorders>
            <w:shd w:val="clear" w:color="auto" w:fill="4F81BD" w:themeFill="accent1"/>
            <w:vAlign w:val="center"/>
            <w:hideMark/>
          </w:tcPr>
          <w:p w14:paraId="3A8542E0" w14:textId="77777777" w:rsidR="00616CE0" w:rsidRPr="003A4D4C" w:rsidRDefault="00616CE0" w:rsidP="001429C8">
            <w:pPr>
              <w:spacing w:after="0"/>
              <w:rPr>
                <w:rFonts w:ascii="Calibri" w:eastAsia="Times New Roman" w:hAnsi="Calibri" w:cs="Times New Roman"/>
                <w:b/>
                <w:bCs/>
                <w:color w:val="FFFFFF" w:themeColor="background1"/>
                <w:lang w:eastAsia="it-IT"/>
              </w:rPr>
            </w:pPr>
            <w:r w:rsidRPr="00463E44">
              <w:rPr>
                <w:b/>
                <w:bCs/>
                <w:color w:val="FFFFFF" w:themeColor="background1"/>
              </w:rPr>
              <w:t>Total routine gas flared – Upstream</w:t>
            </w:r>
          </w:p>
        </w:tc>
      </w:tr>
      <w:tr w:rsidR="00616CE0" w:rsidRPr="00810A15" w14:paraId="497EBD44" w14:textId="77777777" w:rsidTr="001429C8">
        <w:trPr>
          <w:trHeight w:val="567"/>
        </w:trPr>
        <w:tc>
          <w:tcPr>
            <w:tcW w:w="1843" w:type="dxa"/>
            <w:tcBorders>
              <w:top w:val="nil"/>
              <w:left w:val="single" w:sz="4" w:space="0" w:color="auto"/>
              <w:bottom w:val="single" w:sz="4" w:space="0" w:color="auto"/>
              <w:right w:val="single" w:sz="4" w:space="0" w:color="auto"/>
            </w:tcBorders>
            <w:shd w:val="clear" w:color="auto" w:fill="auto"/>
            <w:hideMark/>
          </w:tcPr>
          <w:p w14:paraId="6E7CDFB0" w14:textId="77777777" w:rsidR="00616CE0" w:rsidRPr="003A4D4C" w:rsidRDefault="00616CE0" w:rsidP="001429C8">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Definition and Boundary</w:t>
            </w:r>
          </w:p>
        </w:tc>
        <w:tc>
          <w:tcPr>
            <w:tcW w:w="8363" w:type="dxa"/>
            <w:tcBorders>
              <w:top w:val="nil"/>
              <w:left w:val="nil"/>
              <w:bottom w:val="single" w:sz="4" w:space="0" w:color="auto"/>
              <w:right w:val="single" w:sz="4" w:space="0" w:color="auto"/>
            </w:tcBorders>
            <w:shd w:val="clear" w:color="auto" w:fill="auto"/>
          </w:tcPr>
          <w:p w14:paraId="479E5A4C" w14:textId="7F50D7E0" w:rsidR="00616CE0" w:rsidRDefault="00616CE0" w:rsidP="001429C8">
            <w:pPr>
              <w:pStyle w:val="NoSpace"/>
            </w:pPr>
            <w:r>
              <w:t>Each company provides the volume of routine gas directed to operational flare systems, wherein the gas is consumed through combustion.</w:t>
            </w:r>
          </w:p>
          <w:p w14:paraId="20FAFD16" w14:textId="77777777" w:rsidR="00616CE0" w:rsidRDefault="00616CE0" w:rsidP="001429C8">
            <w:pPr>
              <w:pStyle w:val="NoSpace"/>
            </w:pPr>
            <w:r>
              <w:t>Routine flaring of gas at oil production facilities is flaring during normal oil production operations in the absence of sufficient facilities or amenable geology to re-inject the produced gas, utilize it on-site, or dispatch it to a market.</w:t>
            </w:r>
          </w:p>
          <w:p w14:paraId="57CC08E9" w14:textId="77777777" w:rsidR="00616CE0" w:rsidRPr="00810A15" w:rsidRDefault="00616CE0" w:rsidP="001429C8">
            <w:pPr>
              <w:pStyle w:val="NoSpace"/>
            </w:pPr>
            <w:r>
              <w:t>This indicator covers only the flaring from operated upstream activities.</w:t>
            </w:r>
          </w:p>
        </w:tc>
      </w:tr>
      <w:tr w:rsidR="00616CE0" w:rsidRPr="00810A15" w14:paraId="1961A772" w14:textId="77777777" w:rsidTr="001429C8">
        <w:trPr>
          <w:trHeight w:val="397"/>
        </w:trPr>
        <w:tc>
          <w:tcPr>
            <w:tcW w:w="1843" w:type="dxa"/>
            <w:tcBorders>
              <w:top w:val="nil"/>
              <w:left w:val="single" w:sz="4" w:space="0" w:color="auto"/>
              <w:bottom w:val="single" w:sz="4" w:space="0" w:color="auto"/>
              <w:right w:val="single" w:sz="4" w:space="0" w:color="auto"/>
            </w:tcBorders>
            <w:shd w:val="clear" w:color="auto" w:fill="auto"/>
            <w:noWrap/>
            <w:hideMark/>
          </w:tcPr>
          <w:p w14:paraId="1E2FC5C1" w14:textId="77777777" w:rsidR="00616CE0" w:rsidRPr="003A4D4C" w:rsidRDefault="00616CE0" w:rsidP="001429C8">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Methodology</w:t>
            </w:r>
          </w:p>
        </w:tc>
        <w:tc>
          <w:tcPr>
            <w:tcW w:w="8363" w:type="dxa"/>
            <w:tcBorders>
              <w:top w:val="nil"/>
              <w:left w:val="nil"/>
              <w:bottom w:val="single" w:sz="4" w:space="0" w:color="auto"/>
              <w:right w:val="single" w:sz="4" w:space="0" w:color="auto"/>
            </w:tcBorders>
            <w:shd w:val="clear" w:color="auto" w:fill="auto"/>
          </w:tcPr>
          <w:p w14:paraId="29C22DBE" w14:textId="77777777" w:rsidR="00616CE0" w:rsidRPr="00810A15" w:rsidRDefault="00616CE0" w:rsidP="001429C8">
            <w:pPr>
              <w:pStyle w:val="NoSpace"/>
            </w:pPr>
            <w:r>
              <w:t>Same as FLA.1.</w:t>
            </w:r>
          </w:p>
        </w:tc>
      </w:tr>
      <w:tr w:rsidR="00616CE0" w:rsidRPr="00810A15" w14:paraId="63EAC2F4" w14:textId="77777777" w:rsidTr="001429C8">
        <w:trPr>
          <w:trHeight w:val="397"/>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2617696" w14:textId="77777777" w:rsidR="00616CE0" w:rsidRPr="003A4D4C" w:rsidRDefault="00616CE0" w:rsidP="001429C8">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 xml:space="preserve">Unit </w:t>
            </w:r>
          </w:p>
        </w:tc>
        <w:tc>
          <w:tcPr>
            <w:tcW w:w="8363" w:type="dxa"/>
            <w:tcBorders>
              <w:top w:val="single" w:sz="4" w:space="0" w:color="auto"/>
              <w:left w:val="nil"/>
              <w:bottom w:val="single" w:sz="4" w:space="0" w:color="auto"/>
              <w:right w:val="single" w:sz="4" w:space="0" w:color="auto"/>
            </w:tcBorders>
            <w:shd w:val="clear" w:color="auto" w:fill="auto"/>
          </w:tcPr>
          <w:p w14:paraId="000F3ED9" w14:textId="77777777" w:rsidR="00616CE0" w:rsidRPr="00810A15" w:rsidRDefault="00616CE0" w:rsidP="001429C8">
            <w:r>
              <w:t>Same as FLA.1.</w:t>
            </w:r>
          </w:p>
        </w:tc>
      </w:tr>
      <w:tr w:rsidR="00616CE0" w:rsidRPr="00810A15" w14:paraId="0C14402E" w14:textId="77777777" w:rsidTr="001429C8">
        <w:trPr>
          <w:trHeight w:val="397"/>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045E65B" w14:textId="77777777" w:rsidR="00616CE0" w:rsidRPr="003A4D4C" w:rsidRDefault="00616CE0" w:rsidP="001429C8">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External references</w:t>
            </w:r>
          </w:p>
        </w:tc>
        <w:tc>
          <w:tcPr>
            <w:tcW w:w="8363" w:type="dxa"/>
            <w:tcBorders>
              <w:top w:val="single" w:sz="4" w:space="0" w:color="auto"/>
              <w:left w:val="nil"/>
              <w:bottom w:val="single" w:sz="4" w:space="0" w:color="auto"/>
              <w:right w:val="single" w:sz="4" w:space="0" w:color="auto"/>
            </w:tcBorders>
            <w:shd w:val="clear" w:color="auto" w:fill="auto"/>
            <w:vAlign w:val="center"/>
          </w:tcPr>
          <w:p w14:paraId="54A2FEC2" w14:textId="77777777" w:rsidR="00616CE0" w:rsidRPr="00810A15" w:rsidRDefault="00616CE0" w:rsidP="001429C8">
            <w:r w:rsidRPr="00463E44">
              <w:rPr>
                <w:lang w:eastAsia="it-IT"/>
              </w:rPr>
              <w:t>Global Gas Flaring Reduction Partnership – Gas flaring definitions 2016</w:t>
            </w:r>
          </w:p>
        </w:tc>
      </w:tr>
    </w:tbl>
    <w:p w14:paraId="0B476E74" w14:textId="77777777" w:rsidR="00C833F0" w:rsidRDefault="00C833F0" w:rsidP="00C833F0">
      <w:pPr>
        <w:spacing w:after="0"/>
        <w:rPr>
          <w:lang w:eastAsia="fr-FR"/>
        </w:rPr>
      </w:pPr>
    </w:p>
    <w:tbl>
      <w:tblPr>
        <w:tblW w:w="10206" w:type="dxa"/>
        <w:tblInd w:w="-5" w:type="dxa"/>
        <w:tblCellMar>
          <w:left w:w="70" w:type="dxa"/>
          <w:right w:w="70" w:type="dxa"/>
        </w:tblCellMar>
        <w:tblLook w:val="04A0" w:firstRow="1" w:lastRow="0" w:firstColumn="1" w:lastColumn="0" w:noHBand="0" w:noVBand="1"/>
      </w:tblPr>
      <w:tblGrid>
        <w:gridCol w:w="1843"/>
        <w:gridCol w:w="8363"/>
      </w:tblGrid>
      <w:tr w:rsidR="002659CE" w:rsidRPr="00810A15" w14:paraId="4250782A" w14:textId="77777777" w:rsidTr="00F005BE">
        <w:trPr>
          <w:trHeight w:val="340"/>
        </w:trPr>
        <w:tc>
          <w:tcPr>
            <w:tcW w:w="1843" w:type="dxa"/>
            <w:tcBorders>
              <w:top w:val="single" w:sz="4" w:space="0" w:color="auto"/>
              <w:left w:val="single" w:sz="4" w:space="0" w:color="auto"/>
              <w:bottom w:val="double" w:sz="6" w:space="0" w:color="auto"/>
              <w:right w:val="single" w:sz="4" w:space="0" w:color="auto"/>
            </w:tcBorders>
            <w:shd w:val="clear" w:color="auto" w:fill="4F81BD" w:themeFill="accent1"/>
            <w:noWrap/>
            <w:vAlign w:val="center"/>
            <w:hideMark/>
          </w:tcPr>
          <w:p w14:paraId="07B730D7" w14:textId="08AF5DC9" w:rsidR="002659CE" w:rsidRPr="003A4D4C" w:rsidRDefault="002659CE" w:rsidP="00CE523D">
            <w:pPr>
              <w:spacing w:after="0"/>
              <w:jc w:val="center"/>
              <w:rPr>
                <w:rFonts w:ascii="Calibri" w:eastAsia="Times New Roman" w:hAnsi="Calibri" w:cs="Times New Roman"/>
                <w:b/>
                <w:bCs/>
                <w:color w:val="FFFFFF" w:themeColor="background1"/>
                <w:lang w:eastAsia="it-IT"/>
              </w:rPr>
            </w:pPr>
            <w:r>
              <w:rPr>
                <w:rFonts w:ascii="Calibri" w:eastAsia="Times New Roman" w:hAnsi="Calibri" w:cs="Times New Roman"/>
                <w:b/>
                <w:bCs/>
                <w:color w:val="FFFFFF" w:themeColor="background1"/>
                <w:lang w:eastAsia="it-IT"/>
              </w:rPr>
              <w:t>FLA.2</w:t>
            </w:r>
          </w:p>
        </w:tc>
        <w:tc>
          <w:tcPr>
            <w:tcW w:w="8363" w:type="dxa"/>
            <w:tcBorders>
              <w:top w:val="single" w:sz="4" w:space="0" w:color="auto"/>
              <w:left w:val="nil"/>
              <w:bottom w:val="double" w:sz="6" w:space="0" w:color="auto"/>
              <w:right w:val="single" w:sz="4" w:space="0" w:color="auto"/>
            </w:tcBorders>
            <w:shd w:val="clear" w:color="auto" w:fill="4F81BD" w:themeFill="accent1"/>
            <w:vAlign w:val="center"/>
            <w:hideMark/>
          </w:tcPr>
          <w:p w14:paraId="19D959A3" w14:textId="3AFF6FE6" w:rsidR="002659CE" w:rsidRPr="003A4D4C" w:rsidRDefault="002659CE" w:rsidP="00CE523D">
            <w:pPr>
              <w:spacing w:after="0"/>
              <w:rPr>
                <w:rFonts w:ascii="Calibri" w:eastAsia="Times New Roman" w:hAnsi="Calibri" w:cs="Times New Roman"/>
                <w:b/>
                <w:bCs/>
                <w:color w:val="FFFFFF" w:themeColor="background1"/>
                <w:lang w:eastAsia="it-IT"/>
              </w:rPr>
            </w:pPr>
            <w:r w:rsidRPr="002659CE">
              <w:rPr>
                <w:b/>
                <w:bCs/>
                <w:color w:val="FFFFFF" w:themeColor="background1"/>
              </w:rPr>
              <w:t xml:space="preserve">Flaring GHG emissions – </w:t>
            </w:r>
            <w:r>
              <w:rPr>
                <w:b/>
                <w:bCs/>
                <w:color w:val="FFFFFF" w:themeColor="background1"/>
              </w:rPr>
              <w:t>U</w:t>
            </w:r>
            <w:r w:rsidRPr="002659CE">
              <w:rPr>
                <w:b/>
                <w:bCs/>
                <w:color w:val="FFFFFF" w:themeColor="background1"/>
              </w:rPr>
              <w:t>pstream</w:t>
            </w:r>
          </w:p>
        </w:tc>
      </w:tr>
      <w:tr w:rsidR="002659CE" w:rsidRPr="00810A15" w14:paraId="24BA5E61" w14:textId="77777777" w:rsidTr="00C819F2">
        <w:trPr>
          <w:trHeight w:val="567"/>
        </w:trPr>
        <w:tc>
          <w:tcPr>
            <w:tcW w:w="1843" w:type="dxa"/>
            <w:tcBorders>
              <w:top w:val="nil"/>
              <w:left w:val="single" w:sz="4" w:space="0" w:color="auto"/>
              <w:bottom w:val="single" w:sz="4" w:space="0" w:color="auto"/>
              <w:right w:val="single" w:sz="4" w:space="0" w:color="auto"/>
            </w:tcBorders>
            <w:shd w:val="clear" w:color="auto" w:fill="auto"/>
            <w:hideMark/>
          </w:tcPr>
          <w:p w14:paraId="241EB4B5" w14:textId="77777777" w:rsidR="002659CE" w:rsidRPr="003A4D4C" w:rsidRDefault="002659CE" w:rsidP="00CE523D">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Definition and Boundary</w:t>
            </w:r>
          </w:p>
        </w:tc>
        <w:tc>
          <w:tcPr>
            <w:tcW w:w="8363" w:type="dxa"/>
            <w:tcBorders>
              <w:top w:val="nil"/>
              <w:left w:val="nil"/>
              <w:bottom w:val="single" w:sz="4" w:space="0" w:color="auto"/>
              <w:right w:val="single" w:sz="4" w:space="0" w:color="auto"/>
            </w:tcBorders>
            <w:shd w:val="clear" w:color="auto" w:fill="auto"/>
          </w:tcPr>
          <w:p w14:paraId="33DFA4E5" w14:textId="09343970" w:rsidR="002659CE" w:rsidRDefault="002659CE" w:rsidP="00457E72">
            <w:pPr>
              <w:pStyle w:val="NoSpace"/>
            </w:pPr>
            <w:r>
              <w:t>Each company provides the GHG emissions associated with combustion of gas sent to flare systems (both routine, non-</w:t>
            </w:r>
            <w:r w:rsidRPr="00457E72">
              <w:t>routine</w:t>
            </w:r>
            <w:r w:rsidR="00363DE8">
              <w:t xml:space="preserve"> and</w:t>
            </w:r>
            <w:r>
              <w:t xml:space="preserve"> safety</w:t>
            </w:r>
            <w:r w:rsidR="00363DE8">
              <w:t xml:space="preserve"> flared gas</w:t>
            </w:r>
            <w:r>
              <w:t>).</w:t>
            </w:r>
          </w:p>
          <w:p w14:paraId="25C5C2DB" w14:textId="55586308" w:rsidR="002659CE" w:rsidRDefault="002659CE" w:rsidP="00272D6D">
            <w:pPr>
              <w:pStyle w:val="CommentText"/>
              <w:spacing w:after="0"/>
            </w:pPr>
            <w:r>
              <w:t>These emissions should cover at least CO2 and CH4 (</w:t>
            </w:r>
            <w:proofErr w:type="gramStart"/>
            <w:r>
              <w:t>assuming that</w:t>
            </w:r>
            <w:proofErr w:type="gramEnd"/>
            <w:r>
              <w:t xml:space="preserve"> </w:t>
            </w:r>
            <w:r w:rsidR="009004A8">
              <w:t>combustion efficiency lower than 100</w:t>
            </w:r>
            <w:r w:rsidR="009C00E4">
              <w:t>%</w:t>
            </w:r>
            <w:r>
              <w:t>).</w:t>
            </w:r>
          </w:p>
          <w:p w14:paraId="376B26C0" w14:textId="07C2FDE9" w:rsidR="002659CE" w:rsidRPr="00810A15" w:rsidRDefault="002659CE" w:rsidP="00457E72">
            <w:pPr>
              <w:pStyle w:val="NoSpace"/>
            </w:pPr>
            <w:r>
              <w:t>This indicator covers only the flaring from operated upstream activities</w:t>
            </w:r>
            <w:r w:rsidR="00BA21CA">
              <w:t xml:space="preserve">, </w:t>
            </w:r>
            <w:proofErr w:type="gramStart"/>
            <w:r w:rsidR="00BA21CA">
              <w:t>i.e.</w:t>
            </w:r>
            <w:proofErr w:type="gramEnd"/>
            <w:r w:rsidR="00BA21CA">
              <w:t xml:space="preserve"> the same perimeter than FLA.1</w:t>
            </w:r>
            <w:r>
              <w:t>.</w:t>
            </w:r>
          </w:p>
        </w:tc>
      </w:tr>
      <w:tr w:rsidR="002659CE" w:rsidRPr="00810A15" w14:paraId="0374C013" w14:textId="77777777" w:rsidTr="00C819F2">
        <w:trPr>
          <w:trHeight w:val="397"/>
        </w:trPr>
        <w:tc>
          <w:tcPr>
            <w:tcW w:w="1843" w:type="dxa"/>
            <w:tcBorders>
              <w:top w:val="nil"/>
              <w:left w:val="single" w:sz="4" w:space="0" w:color="auto"/>
              <w:bottom w:val="single" w:sz="4" w:space="0" w:color="auto"/>
              <w:right w:val="single" w:sz="4" w:space="0" w:color="auto"/>
            </w:tcBorders>
            <w:shd w:val="clear" w:color="auto" w:fill="auto"/>
            <w:noWrap/>
            <w:hideMark/>
          </w:tcPr>
          <w:p w14:paraId="1CC385C8" w14:textId="77777777" w:rsidR="002659CE" w:rsidRPr="003A4D4C" w:rsidRDefault="002659CE" w:rsidP="00CE523D">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Methodology</w:t>
            </w:r>
          </w:p>
        </w:tc>
        <w:tc>
          <w:tcPr>
            <w:tcW w:w="8363" w:type="dxa"/>
            <w:tcBorders>
              <w:top w:val="nil"/>
              <w:left w:val="nil"/>
              <w:bottom w:val="single" w:sz="4" w:space="0" w:color="auto"/>
              <w:right w:val="single" w:sz="4" w:space="0" w:color="auto"/>
            </w:tcBorders>
            <w:shd w:val="clear" w:color="auto" w:fill="auto"/>
          </w:tcPr>
          <w:p w14:paraId="13F01BA1" w14:textId="3ADBFDD4" w:rsidR="002659CE" w:rsidRDefault="002659CE" w:rsidP="00CE523D">
            <w:pPr>
              <w:pStyle w:val="NoSpace"/>
            </w:pPr>
            <w:r w:rsidRPr="00973019">
              <w:t>Companies can use the same methodology approach used for their public reporting of GHG emissions in other relevant documentation (</w:t>
            </w:r>
            <w:proofErr w:type="gramStart"/>
            <w:r w:rsidRPr="00973019">
              <w:t>e.g.</w:t>
            </w:r>
            <w:proofErr w:type="gramEnd"/>
            <w:r w:rsidRPr="00973019">
              <w:t xml:space="preserve"> Annual Report, Sustainability Report, etc</w:t>
            </w:r>
            <w:r>
              <w:t>.</w:t>
            </w:r>
            <w:r w:rsidRPr="00973019">
              <w:t xml:space="preserve">), assuming however that the figure is </w:t>
            </w:r>
            <w:r w:rsidR="00664CDE">
              <w:t>based upon</w:t>
            </w:r>
            <w:r w:rsidRPr="00973019">
              <w:t xml:space="preserve"> the operational approach</w:t>
            </w:r>
            <w:r>
              <w:t>.</w:t>
            </w:r>
          </w:p>
          <w:p w14:paraId="7D60BE62" w14:textId="3AE6826F" w:rsidR="002659CE" w:rsidRPr="00810A15" w:rsidRDefault="00363DE8" w:rsidP="00CE523D">
            <w:pPr>
              <w:pStyle w:val="NoSpace"/>
            </w:pPr>
            <w:r w:rsidRPr="00973019">
              <w:t>If companies don’t know a specific combustion efficiency, they can refer to standard values as described in the topic guidance</w:t>
            </w:r>
            <w:r>
              <w:t xml:space="preserve">. In case of specific regulatory requirements, related to the value of the combustion </w:t>
            </w:r>
            <w:r w:rsidRPr="00363DE8">
              <w:t>efficiency</w:t>
            </w:r>
            <w:r>
              <w:t xml:space="preserve"> to be used, companies </w:t>
            </w:r>
            <w:r w:rsidR="00ED6F34">
              <w:t>can</w:t>
            </w:r>
            <w:r>
              <w:t xml:space="preserve"> use it </w:t>
            </w:r>
            <w:proofErr w:type="gramStart"/>
            <w:r>
              <w:t>in order to</w:t>
            </w:r>
            <w:proofErr w:type="gramEnd"/>
            <w:r>
              <w:t xml:space="preserve"> </w:t>
            </w:r>
            <w:r w:rsidR="00664CDE">
              <w:t xml:space="preserve">maintain </w:t>
            </w:r>
            <w:r>
              <w:t>consistency with data provided through regulatory frameworks.</w:t>
            </w:r>
          </w:p>
        </w:tc>
      </w:tr>
      <w:tr w:rsidR="002659CE" w:rsidRPr="00810A15" w14:paraId="5A1EA467" w14:textId="77777777" w:rsidTr="00C819F2">
        <w:trPr>
          <w:trHeight w:val="397"/>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0F93FCB" w14:textId="6732C08E" w:rsidR="002659CE" w:rsidRPr="003A4D4C" w:rsidRDefault="002659CE" w:rsidP="00CE523D">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 xml:space="preserve">Unit </w:t>
            </w:r>
          </w:p>
        </w:tc>
        <w:tc>
          <w:tcPr>
            <w:tcW w:w="8363" w:type="dxa"/>
            <w:tcBorders>
              <w:top w:val="single" w:sz="4" w:space="0" w:color="auto"/>
              <w:left w:val="nil"/>
              <w:bottom w:val="single" w:sz="4" w:space="0" w:color="auto"/>
              <w:right w:val="single" w:sz="4" w:space="0" w:color="auto"/>
            </w:tcBorders>
            <w:shd w:val="clear" w:color="auto" w:fill="auto"/>
          </w:tcPr>
          <w:p w14:paraId="65110CA3" w14:textId="05F00721" w:rsidR="002659CE" w:rsidRPr="00810A15" w:rsidRDefault="00363DE8" w:rsidP="00C819F2">
            <w:pPr>
              <w:pStyle w:val="NoSpace"/>
            </w:pPr>
            <w:r w:rsidRPr="00BF7B44">
              <w:t xml:space="preserve">Companies </w:t>
            </w:r>
            <w:r w:rsidR="00417DAD" w:rsidRPr="00BF7B44">
              <w:t>should</w:t>
            </w:r>
            <w:r w:rsidRPr="00BF7B44">
              <w:t xml:space="preserve"> report in tonnes of CO</w:t>
            </w:r>
            <w:r w:rsidRPr="00BF7B44">
              <w:rPr>
                <w:vertAlign w:val="subscript"/>
              </w:rPr>
              <w:t>2</w:t>
            </w:r>
            <w:r w:rsidRPr="00BF7B44">
              <w:t xml:space="preserve"> equivalent [tCO</w:t>
            </w:r>
            <w:r w:rsidRPr="00BF7B44">
              <w:rPr>
                <w:vertAlign w:val="subscript"/>
              </w:rPr>
              <w:t>2eq</w:t>
            </w:r>
            <w:r w:rsidRPr="00BF7B44">
              <w:t>]</w:t>
            </w:r>
            <w:r>
              <w:t xml:space="preserve"> </w:t>
            </w:r>
            <w:r w:rsidR="00BF7B44">
              <w:t>(</w:t>
            </w:r>
            <w:r w:rsidR="00BF7B44" w:rsidRPr="006A0EDF">
              <w:t xml:space="preserve">See </w:t>
            </w:r>
            <w:r w:rsidR="00BF7B44" w:rsidRPr="006A0EDF">
              <w:fldChar w:fldCharType="begin"/>
            </w:r>
            <w:r w:rsidR="00BF7B44" w:rsidRPr="006A0EDF">
              <w:instrText xml:space="preserve"> REF _Ref19181280 \h </w:instrText>
            </w:r>
            <w:r w:rsidR="00BF7B44">
              <w:instrText xml:space="preserve"> \* MERGEFORMAT </w:instrText>
            </w:r>
            <w:r w:rsidR="00BF7B44" w:rsidRPr="006A0EDF">
              <w:fldChar w:fldCharType="separate"/>
            </w:r>
            <w:r w:rsidR="00120F27">
              <w:rPr>
                <w:lang w:eastAsia="fr-FR"/>
              </w:rPr>
              <w:t>Appendix B – Calculation and conversion factors</w:t>
            </w:r>
            <w:r w:rsidR="00BF7B44" w:rsidRPr="006A0EDF">
              <w:fldChar w:fldCharType="end"/>
            </w:r>
            <w:r w:rsidR="00BF7B44" w:rsidRPr="006A0EDF">
              <w:t xml:space="preserve"> ).</w:t>
            </w:r>
          </w:p>
        </w:tc>
      </w:tr>
      <w:tr w:rsidR="00F06691" w:rsidRPr="00810A15" w14:paraId="370133C5" w14:textId="77777777" w:rsidTr="00F005BE">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495DF6E" w14:textId="77777777" w:rsidR="00F06691" w:rsidRPr="003A4D4C" w:rsidRDefault="00F06691" w:rsidP="00F06691">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External references</w:t>
            </w:r>
          </w:p>
        </w:tc>
        <w:tc>
          <w:tcPr>
            <w:tcW w:w="8363" w:type="dxa"/>
            <w:tcBorders>
              <w:top w:val="single" w:sz="4" w:space="0" w:color="auto"/>
              <w:left w:val="nil"/>
              <w:bottom w:val="single" w:sz="4" w:space="0" w:color="auto"/>
              <w:right w:val="single" w:sz="4" w:space="0" w:color="auto"/>
            </w:tcBorders>
            <w:shd w:val="clear" w:color="auto" w:fill="auto"/>
            <w:vAlign w:val="center"/>
          </w:tcPr>
          <w:p w14:paraId="5010FE86" w14:textId="6D3890CE" w:rsidR="00F06691" w:rsidRPr="00810A15" w:rsidRDefault="00F06691" w:rsidP="00C819F2">
            <w:r w:rsidRPr="00034FEE">
              <w:rPr>
                <w:rFonts w:ascii="Calibri" w:eastAsia="Times New Roman" w:hAnsi="Calibri" w:cs="Times New Roman"/>
                <w:color w:val="000000"/>
                <w:szCs w:val="20"/>
                <w:lang w:eastAsia="it-IT"/>
              </w:rPr>
              <w:t>IPIECA O&amp;G Industry Guidance on Voluntary Sustainability Reporting: indicator E4</w:t>
            </w:r>
            <w:r>
              <w:rPr>
                <w:rFonts w:ascii="Calibri" w:eastAsia="Times New Roman" w:hAnsi="Calibri" w:cs="Times New Roman"/>
                <w:color w:val="000000"/>
                <w:szCs w:val="20"/>
                <w:lang w:eastAsia="it-IT"/>
              </w:rPr>
              <w:t>.</w:t>
            </w:r>
          </w:p>
        </w:tc>
      </w:tr>
    </w:tbl>
    <w:p w14:paraId="2B62E22D" w14:textId="7436F243" w:rsidR="0029589C" w:rsidRDefault="0029589C" w:rsidP="00F005BE">
      <w:pPr>
        <w:pStyle w:val="NoSpace"/>
      </w:pPr>
    </w:p>
    <w:tbl>
      <w:tblPr>
        <w:tblW w:w="10206" w:type="dxa"/>
        <w:tblInd w:w="-5" w:type="dxa"/>
        <w:tblCellMar>
          <w:left w:w="70" w:type="dxa"/>
          <w:right w:w="70" w:type="dxa"/>
        </w:tblCellMar>
        <w:tblLook w:val="04A0" w:firstRow="1" w:lastRow="0" w:firstColumn="1" w:lastColumn="0" w:noHBand="0" w:noVBand="1"/>
      </w:tblPr>
      <w:tblGrid>
        <w:gridCol w:w="1843"/>
        <w:gridCol w:w="8363"/>
      </w:tblGrid>
      <w:tr w:rsidR="009C7008" w:rsidRPr="00810A15" w14:paraId="736DA993" w14:textId="77777777" w:rsidTr="00F005BE">
        <w:trPr>
          <w:trHeight w:val="340"/>
        </w:trPr>
        <w:tc>
          <w:tcPr>
            <w:tcW w:w="1843" w:type="dxa"/>
            <w:tcBorders>
              <w:top w:val="single" w:sz="4" w:space="0" w:color="auto"/>
              <w:left w:val="single" w:sz="4" w:space="0" w:color="auto"/>
              <w:bottom w:val="double" w:sz="6" w:space="0" w:color="auto"/>
              <w:right w:val="single" w:sz="4" w:space="0" w:color="auto"/>
            </w:tcBorders>
            <w:shd w:val="clear" w:color="auto" w:fill="4F81BD" w:themeFill="accent1"/>
            <w:noWrap/>
            <w:vAlign w:val="center"/>
            <w:hideMark/>
          </w:tcPr>
          <w:p w14:paraId="56DE0F91" w14:textId="00A78002" w:rsidR="009C7008" w:rsidRPr="003A4D4C" w:rsidRDefault="009C7008" w:rsidP="00CE523D">
            <w:pPr>
              <w:spacing w:after="0"/>
              <w:jc w:val="center"/>
              <w:rPr>
                <w:rFonts w:ascii="Calibri" w:eastAsia="Times New Roman" w:hAnsi="Calibri" w:cs="Times New Roman"/>
                <w:b/>
                <w:bCs/>
                <w:color w:val="FFFFFF" w:themeColor="background1"/>
                <w:lang w:eastAsia="it-IT"/>
              </w:rPr>
            </w:pPr>
            <w:r>
              <w:rPr>
                <w:rFonts w:ascii="Calibri" w:eastAsia="Times New Roman" w:hAnsi="Calibri" w:cs="Times New Roman"/>
                <w:b/>
                <w:bCs/>
                <w:color w:val="FFFFFF" w:themeColor="background1"/>
                <w:lang w:eastAsia="it-IT"/>
              </w:rPr>
              <w:t>FLA</w:t>
            </w:r>
          </w:p>
        </w:tc>
        <w:tc>
          <w:tcPr>
            <w:tcW w:w="8363" w:type="dxa"/>
            <w:tcBorders>
              <w:top w:val="single" w:sz="4" w:space="0" w:color="auto"/>
              <w:left w:val="nil"/>
              <w:bottom w:val="double" w:sz="6" w:space="0" w:color="auto"/>
              <w:right w:val="single" w:sz="4" w:space="0" w:color="auto"/>
            </w:tcBorders>
            <w:shd w:val="clear" w:color="auto" w:fill="4F81BD" w:themeFill="accent1"/>
            <w:vAlign w:val="center"/>
            <w:hideMark/>
          </w:tcPr>
          <w:p w14:paraId="20082484" w14:textId="61D5AE26" w:rsidR="009C7008" w:rsidRPr="003A4D4C" w:rsidRDefault="009C7008" w:rsidP="00CE523D">
            <w:pPr>
              <w:spacing w:after="0"/>
              <w:rPr>
                <w:rFonts w:ascii="Calibri" w:eastAsia="Times New Roman" w:hAnsi="Calibri" w:cs="Times New Roman"/>
                <w:b/>
                <w:bCs/>
                <w:color w:val="FFFFFF" w:themeColor="background1"/>
                <w:lang w:eastAsia="it-IT"/>
              </w:rPr>
            </w:pPr>
            <w:r>
              <w:rPr>
                <w:b/>
                <w:bCs/>
                <w:color w:val="FFFFFF" w:themeColor="background1"/>
              </w:rPr>
              <w:t>Upstream flaring intensity</w:t>
            </w:r>
          </w:p>
        </w:tc>
      </w:tr>
      <w:tr w:rsidR="009C7008" w:rsidRPr="00810A15" w14:paraId="50980C64" w14:textId="77777777" w:rsidTr="00C819F2">
        <w:trPr>
          <w:trHeight w:val="567"/>
        </w:trPr>
        <w:tc>
          <w:tcPr>
            <w:tcW w:w="1843" w:type="dxa"/>
            <w:tcBorders>
              <w:top w:val="nil"/>
              <w:left w:val="single" w:sz="4" w:space="0" w:color="auto"/>
              <w:bottom w:val="single" w:sz="4" w:space="0" w:color="auto"/>
              <w:right w:val="single" w:sz="4" w:space="0" w:color="auto"/>
            </w:tcBorders>
            <w:shd w:val="clear" w:color="auto" w:fill="auto"/>
            <w:hideMark/>
          </w:tcPr>
          <w:p w14:paraId="510F737F" w14:textId="77777777" w:rsidR="009C7008" w:rsidRPr="003A4D4C" w:rsidRDefault="009C7008" w:rsidP="00CE523D">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Definition and Boundary</w:t>
            </w:r>
          </w:p>
        </w:tc>
        <w:tc>
          <w:tcPr>
            <w:tcW w:w="8363" w:type="dxa"/>
            <w:tcBorders>
              <w:top w:val="nil"/>
              <w:left w:val="nil"/>
              <w:bottom w:val="single" w:sz="4" w:space="0" w:color="auto"/>
              <w:right w:val="single" w:sz="4" w:space="0" w:color="auto"/>
            </w:tcBorders>
            <w:shd w:val="clear" w:color="auto" w:fill="auto"/>
          </w:tcPr>
          <w:p w14:paraId="5DC7AF2C" w14:textId="7D1369D8" w:rsidR="009C7008" w:rsidRPr="00810A15" w:rsidRDefault="009C7008" w:rsidP="00457E72">
            <w:pPr>
              <w:pStyle w:val="NoSpace"/>
            </w:pPr>
            <w:r w:rsidRPr="009C7008">
              <w:t xml:space="preserve">This </w:t>
            </w:r>
            <w:r w:rsidR="003452D0">
              <w:t>indicator</w:t>
            </w:r>
            <w:r w:rsidR="003452D0" w:rsidRPr="009C7008">
              <w:t xml:space="preserve"> </w:t>
            </w:r>
            <w:r w:rsidRPr="009C7008">
              <w:t>is calculated at the OGCI consolidated level</w:t>
            </w:r>
            <w:r>
              <w:t xml:space="preserve"> and covers </w:t>
            </w:r>
            <w:r w:rsidRPr="009C7008">
              <w:t>only the flaring from operated upstream activities.</w:t>
            </w:r>
          </w:p>
        </w:tc>
      </w:tr>
      <w:tr w:rsidR="009C7008" w:rsidRPr="00810A15" w14:paraId="7FBBDBF7" w14:textId="77777777" w:rsidTr="00C819F2">
        <w:trPr>
          <w:trHeight w:val="397"/>
        </w:trPr>
        <w:tc>
          <w:tcPr>
            <w:tcW w:w="1843" w:type="dxa"/>
            <w:tcBorders>
              <w:top w:val="nil"/>
              <w:left w:val="single" w:sz="4" w:space="0" w:color="auto"/>
              <w:bottom w:val="single" w:sz="4" w:space="0" w:color="auto"/>
              <w:right w:val="single" w:sz="4" w:space="0" w:color="auto"/>
            </w:tcBorders>
            <w:shd w:val="clear" w:color="auto" w:fill="auto"/>
            <w:noWrap/>
            <w:hideMark/>
          </w:tcPr>
          <w:p w14:paraId="74203742" w14:textId="77777777" w:rsidR="009C7008" w:rsidRPr="003A4D4C" w:rsidRDefault="009C7008" w:rsidP="00CE523D">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Methodology</w:t>
            </w:r>
          </w:p>
        </w:tc>
        <w:tc>
          <w:tcPr>
            <w:tcW w:w="8363" w:type="dxa"/>
            <w:tcBorders>
              <w:top w:val="nil"/>
              <w:left w:val="nil"/>
              <w:bottom w:val="single" w:sz="4" w:space="0" w:color="auto"/>
              <w:right w:val="single" w:sz="4" w:space="0" w:color="auto"/>
            </w:tcBorders>
            <w:shd w:val="clear" w:color="auto" w:fill="auto"/>
          </w:tcPr>
          <w:p w14:paraId="55AFA101" w14:textId="5BBE78C5" w:rsidR="009C7008" w:rsidRDefault="009C7008" w:rsidP="009C7008">
            <w:pPr>
              <w:pStyle w:val="NoSpace"/>
            </w:pPr>
            <w:r>
              <w:t xml:space="preserve">Upstream flaring intensity = (Total gas flared – </w:t>
            </w:r>
            <w:r w:rsidR="00C61501">
              <w:t>U</w:t>
            </w:r>
            <w:r>
              <w:t>pstream)</w:t>
            </w:r>
            <w:r w:rsidR="00C61501">
              <w:t xml:space="preserve"> </w:t>
            </w:r>
            <w:r>
              <w:t>/ (</w:t>
            </w:r>
            <w:r w:rsidR="00C61501" w:rsidRPr="00C61501">
              <w:t>Total operated hydrocarbon production</w:t>
            </w:r>
            <w:r>
              <w:t>)</w:t>
            </w:r>
          </w:p>
          <w:p w14:paraId="57EED059" w14:textId="27E34697" w:rsidR="009C7008" w:rsidRPr="006B27CA" w:rsidRDefault="00C61501" w:rsidP="009C7008">
            <w:pPr>
              <w:pStyle w:val="NoSpace"/>
              <w:rPr>
                <w:b/>
                <w:bCs/>
              </w:rPr>
            </w:pPr>
            <w:r w:rsidRPr="006B27CA">
              <w:rPr>
                <w:b/>
                <w:bCs/>
              </w:rPr>
              <w:t>FLA</w:t>
            </w:r>
            <w:r w:rsidR="009C7008" w:rsidRPr="006B27CA">
              <w:rPr>
                <w:b/>
                <w:bCs/>
              </w:rPr>
              <w:t xml:space="preserve"> = </w:t>
            </w:r>
            <w:r w:rsidRPr="006B27CA">
              <w:rPr>
                <w:b/>
                <w:bCs/>
              </w:rPr>
              <w:t xml:space="preserve">FLA.1 / </w:t>
            </w:r>
            <w:r w:rsidR="0047417A">
              <w:rPr>
                <w:b/>
                <w:bCs/>
              </w:rPr>
              <w:t>[</w:t>
            </w:r>
            <w:r w:rsidRPr="006B27CA">
              <w:rPr>
                <w:b/>
                <w:bCs/>
              </w:rPr>
              <w:t>PROD.</w:t>
            </w:r>
            <w:r w:rsidR="00530AC4" w:rsidRPr="006B27CA">
              <w:rPr>
                <w:b/>
                <w:bCs/>
              </w:rPr>
              <w:t>11</w:t>
            </w:r>
            <w:r w:rsidR="0047417A">
              <w:rPr>
                <w:b/>
                <w:bCs/>
              </w:rPr>
              <w:t xml:space="preserve"> x 365 / 7.333]</w:t>
            </w:r>
          </w:p>
        </w:tc>
      </w:tr>
      <w:tr w:rsidR="003A1B0D" w:rsidRPr="00810A15" w14:paraId="3ED9778F" w14:textId="77777777" w:rsidTr="00C819F2">
        <w:trPr>
          <w:trHeight w:val="397"/>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4F299AD" w14:textId="135E7195" w:rsidR="003A1B0D" w:rsidRPr="003A4D4C" w:rsidRDefault="003A1B0D" w:rsidP="003A1B0D">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 xml:space="preserve">Unit </w:t>
            </w:r>
          </w:p>
        </w:tc>
        <w:tc>
          <w:tcPr>
            <w:tcW w:w="8363" w:type="dxa"/>
            <w:tcBorders>
              <w:top w:val="single" w:sz="4" w:space="0" w:color="auto"/>
              <w:left w:val="nil"/>
              <w:bottom w:val="single" w:sz="4" w:space="0" w:color="auto"/>
              <w:right w:val="single" w:sz="4" w:space="0" w:color="auto"/>
            </w:tcBorders>
            <w:shd w:val="clear" w:color="auto" w:fill="auto"/>
          </w:tcPr>
          <w:p w14:paraId="49FE60EE" w14:textId="667BF2FE" w:rsidR="003A1B0D" w:rsidRPr="00810A15" w:rsidRDefault="00664CDE" w:rsidP="003A1B0D">
            <w:r>
              <w:t>The calculated OGCI indicator is reported in Mm</w:t>
            </w:r>
            <w:r w:rsidRPr="006D5608">
              <w:rPr>
                <w:vertAlign w:val="superscript"/>
              </w:rPr>
              <w:t>3</w:t>
            </w:r>
            <w:r>
              <w:t xml:space="preserve">/Mtoe (See </w:t>
            </w:r>
            <w:r>
              <w:fldChar w:fldCharType="begin"/>
            </w:r>
            <w:r>
              <w:instrText xml:space="preserve"> REF _Ref19181280 \h </w:instrText>
            </w:r>
            <w:r>
              <w:fldChar w:fldCharType="separate"/>
            </w:r>
            <w:r w:rsidR="00120F27">
              <w:rPr>
                <w:lang w:eastAsia="fr-FR"/>
              </w:rPr>
              <w:t>Appendix B – Calculation and conversion factors</w:t>
            </w:r>
            <w:r>
              <w:fldChar w:fldCharType="end"/>
            </w:r>
            <w:r>
              <w:t xml:space="preserve"> ).</w:t>
            </w:r>
          </w:p>
        </w:tc>
      </w:tr>
      <w:tr w:rsidR="009C7008" w:rsidRPr="00810A15" w14:paraId="7DDBDD36" w14:textId="77777777" w:rsidTr="00F005BE">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7CC6E69" w14:textId="77777777" w:rsidR="009C7008" w:rsidRPr="003A4D4C" w:rsidRDefault="009C7008" w:rsidP="00CE523D">
            <w:pPr>
              <w:spacing w:after="0"/>
              <w:jc w:val="center"/>
              <w:rPr>
                <w:rFonts w:ascii="Calibri" w:eastAsia="Times New Roman" w:hAnsi="Calibri" w:cs="Times New Roman"/>
                <w:b/>
                <w:bCs/>
                <w:color w:val="000000"/>
                <w:szCs w:val="20"/>
                <w:lang w:eastAsia="it-IT"/>
              </w:rPr>
            </w:pPr>
            <w:r w:rsidRPr="003A4D4C">
              <w:rPr>
                <w:rFonts w:ascii="Calibri" w:eastAsia="Times New Roman" w:hAnsi="Calibri" w:cs="Times New Roman"/>
                <w:b/>
                <w:bCs/>
                <w:color w:val="000000"/>
                <w:szCs w:val="20"/>
                <w:lang w:eastAsia="it-IT"/>
              </w:rPr>
              <w:t>External references</w:t>
            </w:r>
          </w:p>
        </w:tc>
        <w:tc>
          <w:tcPr>
            <w:tcW w:w="8363" w:type="dxa"/>
            <w:tcBorders>
              <w:top w:val="single" w:sz="4" w:space="0" w:color="auto"/>
              <w:left w:val="nil"/>
              <w:bottom w:val="single" w:sz="4" w:space="0" w:color="auto"/>
              <w:right w:val="single" w:sz="4" w:space="0" w:color="auto"/>
            </w:tcBorders>
            <w:shd w:val="clear" w:color="auto" w:fill="auto"/>
            <w:vAlign w:val="center"/>
          </w:tcPr>
          <w:p w14:paraId="38B4743B" w14:textId="2F49128C" w:rsidR="009C7008" w:rsidRPr="00810A15" w:rsidRDefault="00B013A4" w:rsidP="00C819F2">
            <w:r>
              <w:rPr>
                <w:rFonts w:ascii="Calibri" w:eastAsia="Times New Roman" w:hAnsi="Calibri" w:cs="Times New Roman"/>
                <w:color w:val="000000"/>
                <w:szCs w:val="20"/>
                <w:lang w:eastAsia="it-IT"/>
              </w:rPr>
              <w:t>NA</w:t>
            </w:r>
          </w:p>
        </w:tc>
      </w:tr>
    </w:tbl>
    <w:p w14:paraId="2E903704" w14:textId="3722C8EA" w:rsidR="00AF3D0A" w:rsidRDefault="001D5895" w:rsidP="003E111D">
      <w:pPr>
        <w:pStyle w:val="Heading2"/>
      </w:pPr>
      <w:bookmarkStart w:id="12" w:name="_Hlk35006642"/>
      <w:r w:rsidRPr="002113F1">
        <w:t>Low Carbon Investments</w:t>
      </w:r>
    </w:p>
    <w:p w14:paraId="4C8292D9" w14:textId="77777777" w:rsidR="00E45C33" w:rsidRPr="00E45C33" w:rsidRDefault="00E45C33" w:rsidP="00E45C33">
      <w:pPr>
        <w:rPr>
          <w:lang w:eastAsia="fr-FR"/>
        </w:rPr>
      </w:pPr>
    </w:p>
    <w:tbl>
      <w:tblPr>
        <w:tblW w:w="10206" w:type="dxa"/>
        <w:tblInd w:w="-5" w:type="dxa"/>
        <w:tblCellMar>
          <w:left w:w="70" w:type="dxa"/>
          <w:right w:w="70" w:type="dxa"/>
        </w:tblCellMar>
        <w:tblLook w:val="04A0" w:firstRow="1" w:lastRow="0" w:firstColumn="1" w:lastColumn="0" w:noHBand="0" w:noVBand="1"/>
      </w:tblPr>
      <w:tblGrid>
        <w:gridCol w:w="1843"/>
        <w:gridCol w:w="8363"/>
      </w:tblGrid>
      <w:tr w:rsidR="0029782D" w:rsidRPr="002113F1" w14:paraId="75526929" w14:textId="77777777" w:rsidTr="00F005BE">
        <w:trPr>
          <w:trHeight w:val="340"/>
        </w:trPr>
        <w:tc>
          <w:tcPr>
            <w:tcW w:w="1843" w:type="dxa"/>
            <w:tcBorders>
              <w:top w:val="single" w:sz="4" w:space="0" w:color="auto"/>
              <w:left w:val="single" w:sz="4" w:space="0" w:color="auto"/>
              <w:bottom w:val="double" w:sz="6" w:space="0" w:color="auto"/>
              <w:right w:val="single" w:sz="4" w:space="0" w:color="auto"/>
            </w:tcBorders>
            <w:shd w:val="clear" w:color="auto" w:fill="4F81BD" w:themeFill="accent1"/>
            <w:noWrap/>
            <w:vAlign w:val="center"/>
            <w:hideMark/>
          </w:tcPr>
          <w:bookmarkEnd w:id="12"/>
          <w:p w14:paraId="0C4E20AF" w14:textId="0E579D36" w:rsidR="0029782D" w:rsidRPr="002113F1" w:rsidRDefault="004B10E6" w:rsidP="0029782D">
            <w:pPr>
              <w:jc w:val="center"/>
              <w:rPr>
                <w:rFonts w:ascii="Calibri" w:eastAsia="Times New Roman" w:hAnsi="Calibri" w:cs="Times New Roman"/>
                <w:b/>
                <w:bCs/>
                <w:color w:val="FFFFFF" w:themeColor="background1"/>
                <w:szCs w:val="20"/>
                <w:lang w:eastAsia="it-IT"/>
              </w:rPr>
            </w:pPr>
            <w:r>
              <w:rPr>
                <w:rFonts w:ascii="Calibri" w:eastAsia="Times New Roman" w:hAnsi="Calibri" w:cs="Times New Roman"/>
                <w:b/>
                <w:bCs/>
                <w:color w:val="FFFFFF" w:themeColor="background1"/>
                <w:szCs w:val="20"/>
                <w:lang w:eastAsia="it-IT"/>
              </w:rPr>
              <w:t>INV</w:t>
            </w:r>
            <w:r w:rsidR="00457E72" w:rsidRPr="002113F1">
              <w:rPr>
                <w:rFonts w:ascii="Calibri" w:eastAsia="Times New Roman" w:hAnsi="Calibri" w:cs="Times New Roman"/>
                <w:b/>
                <w:bCs/>
                <w:color w:val="FFFFFF" w:themeColor="background1"/>
                <w:szCs w:val="20"/>
                <w:lang w:eastAsia="it-IT"/>
              </w:rPr>
              <w:t>.</w:t>
            </w:r>
            <w:r>
              <w:rPr>
                <w:rFonts w:ascii="Calibri" w:eastAsia="Times New Roman" w:hAnsi="Calibri" w:cs="Times New Roman"/>
                <w:b/>
                <w:bCs/>
                <w:color w:val="FFFFFF" w:themeColor="background1"/>
                <w:szCs w:val="20"/>
                <w:lang w:eastAsia="it-IT"/>
              </w:rPr>
              <w:t>2</w:t>
            </w:r>
          </w:p>
        </w:tc>
        <w:tc>
          <w:tcPr>
            <w:tcW w:w="8363" w:type="dxa"/>
            <w:tcBorders>
              <w:top w:val="single" w:sz="4" w:space="0" w:color="auto"/>
              <w:left w:val="nil"/>
              <w:bottom w:val="double" w:sz="6" w:space="0" w:color="auto"/>
              <w:right w:val="single" w:sz="4" w:space="0" w:color="auto"/>
            </w:tcBorders>
            <w:shd w:val="clear" w:color="auto" w:fill="4F81BD" w:themeFill="accent1"/>
            <w:vAlign w:val="center"/>
            <w:hideMark/>
          </w:tcPr>
          <w:p w14:paraId="2C48863C" w14:textId="4FA63378" w:rsidR="0029782D" w:rsidRPr="004B10E6" w:rsidRDefault="004B10E6" w:rsidP="00665E8F">
            <w:pPr>
              <w:rPr>
                <w:rFonts w:ascii="Calibri" w:eastAsia="Times New Roman" w:hAnsi="Calibri" w:cs="Times New Roman"/>
                <w:b/>
                <w:bCs/>
                <w:color w:val="FFFFFF" w:themeColor="background1"/>
                <w:szCs w:val="20"/>
                <w:lang w:eastAsia="it-IT"/>
              </w:rPr>
            </w:pPr>
            <w:r w:rsidRPr="004B10E6">
              <w:rPr>
                <w:rFonts w:ascii="Calibri" w:eastAsia="Times New Roman" w:hAnsi="Calibri" w:cs="Times New Roman"/>
                <w:b/>
                <w:bCs/>
                <w:color w:val="FFFFFF" w:themeColor="background1"/>
                <w:szCs w:val="20"/>
                <w:lang w:eastAsia="it-IT"/>
              </w:rPr>
              <w:t>Total spent in low carbon projects</w:t>
            </w:r>
          </w:p>
        </w:tc>
      </w:tr>
      <w:tr w:rsidR="0029782D" w:rsidRPr="002113F1" w14:paraId="7D48E28C" w14:textId="77777777" w:rsidTr="00F358DC">
        <w:trPr>
          <w:trHeight w:val="960"/>
        </w:trPr>
        <w:tc>
          <w:tcPr>
            <w:tcW w:w="1843"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75994107" w14:textId="77777777" w:rsidR="0029782D" w:rsidRPr="004B10E6" w:rsidRDefault="0029782D" w:rsidP="0029782D">
            <w:pPr>
              <w:jc w:val="center"/>
              <w:rPr>
                <w:rFonts w:ascii="Calibri" w:eastAsia="Times New Roman" w:hAnsi="Calibri" w:cs="Times New Roman"/>
                <w:b/>
                <w:bCs/>
                <w:color w:val="000000"/>
                <w:szCs w:val="20"/>
                <w:lang w:eastAsia="it-IT"/>
              </w:rPr>
            </w:pPr>
            <w:r w:rsidRPr="002113F1">
              <w:rPr>
                <w:rFonts w:ascii="Calibri" w:eastAsia="Times New Roman" w:hAnsi="Calibri" w:cs="Times New Roman"/>
                <w:b/>
                <w:bCs/>
                <w:color w:val="000000"/>
                <w:szCs w:val="20"/>
                <w:lang w:eastAsia="it-IT"/>
              </w:rPr>
              <w:t>Definition and Boundary</w:t>
            </w:r>
          </w:p>
        </w:tc>
        <w:tc>
          <w:tcPr>
            <w:tcW w:w="8363" w:type="dxa"/>
            <w:tcBorders>
              <w:top w:val="double" w:sz="6" w:space="0" w:color="auto"/>
              <w:left w:val="single" w:sz="4" w:space="0" w:color="BFBFBF"/>
              <w:bottom w:val="single" w:sz="4" w:space="0" w:color="auto"/>
              <w:right w:val="single" w:sz="4" w:space="0" w:color="auto"/>
            </w:tcBorders>
            <w:shd w:val="clear" w:color="auto" w:fill="auto"/>
            <w:vAlign w:val="center"/>
            <w:hideMark/>
          </w:tcPr>
          <w:p w14:paraId="1F81C66E" w14:textId="77777777" w:rsidR="004B10E6" w:rsidRPr="004B10E6" w:rsidRDefault="004B10E6" w:rsidP="004B10E6">
            <w:pPr>
              <w:pStyle w:val="NoSpace"/>
            </w:pPr>
            <w:r w:rsidRPr="004B10E6">
              <w:t xml:space="preserve">This indicator covers CAPEX spent in the year of reporting for the following: </w:t>
            </w:r>
          </w:p>
          <w:p w14:paraId="50A631E4" w14:textId="77777777" w:rsidR="004B10E6" w:rsidRPr="004B10E6" w:rsidRDefault="004B10E6" w:rsidP="0035559C">
            <w:pPr>
              <w:pStyle w:val="NoSpace"/>
              <w:numPr>
                <w:ilvl w:val="0"/>
                <w:numId w:val="22"/>
              </w:numPr>
            </w:pPr>
            <w:r w:rsidRPr="004B10E6">
              <w:t xml:space="preserve">Renewables energies (electricity &amp; heat) (wind, solar, hydro, geothermal, marine) </w:t>
            </w:r>
          </w:p>
          <w:p w14:paraId="12D4E00E" w14:textId="77777777" w:rsidR="004B10E6" w:rsidRPr="004B10E6" w:rsidRDefault="004B10E6" w:rsidP="0035559C">
            <w:pPr>
              <w:pStyle w:val="NoSpace"/>
              <w:numPr>
                <w:ilvl w:val="0"/>
                <w:numId w:val="22"/>
              </w:numPr>
            </w:pPr>
            <w:r w:rsidRPr="004B10E6">
              <w:t>Electricity &amp; heat storage</w:t>
            </w:r>
          </w:p>
          <w:p w14:paraId="0BA445F7" w14:textId="64F31A29" w:rsidR="004B10E6" w:rsidRPr="004B10E6" w:rsidRDefault="004B10E6" w:rsidP="0035559C">
            <w:pPr>
              <w:pStyle w:val="NoSpace"/>
              <w:numPr>
                <w:ilvl w:val="0"/>
                <w:numId w:val="22"/>
              </w:numPr>
            </w:pPr>
            <w:r w:rsidRPr="004B10E6">
              <w:t>CCUS projects. When CCS is included into a new facility, the company will estimate the share of the amount that is dedicated to CCS</w:t>
            </w:r>
            <w:r w:rsidR="008533BC">
              <w:t>. This excludes investments in CCUS through OGCI CI.</w:t>
            </w:r>
          </w:p>
          <w:p w14:paraId="381CD625" w14:textId="77777777" w:rsidR="004B10E6" w:rsidRPr="004B10E6" w:rsidRDefault="004B10E6" w:rsidP="0035559C">
            <w:pPr>
              <w:pStyle w:val="NoSpace"/>
              <w:numPr>
                <w:ilvl w:val="0"/>
                <w:numId w:val="22"/>
              </w:numPr>
            </w:pPr>
            <w:r w:rsidRPr="004B10E6">
              <w:t>Projects that aim to increase energy efficiency as primary purpose</w:t>
            </w:r>
          </w:p>
          <w:p w14:paraId="455012DF" w14:textId="77777777" w:rsidR="004B10E6" w:rsidRPr="004B10E6" w:rsidRDefault="004B10E6" w:rsidP="0035559C">
            <w:pPr>
              <w:pStyle w:val="NoSpace"/>
              <w:numPr>
                <w:ilvl w:val="0"/>
                <w:numId w:val="22"/>
              </w:numPr>
            </w:pPr>
            <w:r w:rsidRPr="004B10E6">
              <w:t xml:space="preserve">Biofuels projects </w:t>
            </w:r>
          </w:p>
          <w:p w14:paraId="2BF0CF27" w14:textId="77777777" w:rsidR="004B10E6" w:rsidRPr="004B10E6" w:rsidRDefault="004B10E6" w:rsidP="0035559C">
            <w:pPr>
              <w:pStyle w:val="NoSpace"/>
              <w:numPr>
                <w:ilvl w:val="0"/>
                <w:numId w:val="22"/>
              </w:numPr>
            </w:pPr>
            <w:r w:rsidRPr="004B10E6">
              <w:t>Blue or Green Hydrogen projects</w:t>
            </w:r>
          </w:p>
          <w:p w14:paraId="5047D259" w14:textId="77777777" w:rsidR="004B10E6" w:rsidRPr="004B10E6" w:rsidRDefault="004B10E6" w:rsidP="0035559C">
            <w:pPr>
              <w:pStyle w:val="NoSpace"/>
              <w:numPr>
                <w:ilvl w:val="0"/>
                <w:numId w:val="22"/>
              </w:numPr>
            </w:pPr>
            <w:r w:rsidRPr="004B10E6">
              <w:t>Sustainable mobility</w:t>
            </w:r>
          </w:p>
          <w:p w14:paraId="6E5D8F99" w14:textId="77777777" w:rsidR="004B10E6" w:rsidRPr="004B10E6" w:rsidRDefault="004B10E6" w:rsidP="0035559C">
            <w:pPr>
              <w:pStyle w:val="NoSpace"/>
              <w:numPr>
                <w:ilvl w:val="0"/>
                <w:numId w:val="22"/>
              </w:numPr>
            </w:pPr>
            <w:r w:rsidRPr="004B10E6">
              <w:lastRenderedPageBreak/>
              <w:t>Natural Climate solutions projects. Purchase of carbon credits are excluded</w:t>
            </w:r>
          </w:p>
          <w:p w14:paraId="165AD6AC" w14:textId="77777777" w:rsidR="004B10E6" w:rsidRPr="004B10E6" w:rsidRDefault="004B10E6" w:rsidP="004B10E6">
            <w:pPr>
              <w:pStyle w:val="NoSpace"/>
            </w:pPr>
            <w:r w:rsidRPr="004B10E6">
              <w:t>This indicator also covers the OPEX spent in the year of reporting for the following:</w:t>
            </w:r>
          </w:p>
          <w:p w14:paraId="35EA4227" w14:textId="77777777" w:rsidR="004B10E6" w:rsidRPr="004B10E6" w:rsidRDefault="004B10E6" w:rsidP="0035559C">
            <w:pPr>
              <w:pStyle w:val="NoSpace"/>
              <w:numPr>
                <w:ilvl w:val="0"/>
                <w:numId w:val="23"/>
              </w:numPr>
            </w:pPr>
            <w:r w:rsidRPr="004B10E6">
              <w:t>OPEX spent during the year for Power Purchase Agreements from Renewable energies</w:t>
            </w:r>
          </w:p>
          <w:p w14:paraId="76F89873" w14:textId="77777777" w:rsidR="004B10E6" w:rsidRPr="004B10E6" w:rsidRDefault="004B10E6" w:rsidP="0035559C">
            <w:pPr>
              <w:pStyle w:val="NoSpace"/>
              <w:numPr>
                <w:ilvl w:val="0"/>
                <w:numId w:val="23"/>
              </w:numPr>
            </w:pPr>
            <w:r w:rsidRPr="004B10E6">
              <w:t>OPEX of CCUS projects when available</w:t>
            </w:r>
          </w:p>
          <w:p w14:paraId="39FD5C27" w14:textId="36116EA4" w:rsidR="004B10E6" w:rsidRPr="004B10E6" w:rsidRDefault="004B10E6" w:rsidP="004B10E6">
            <w:pPr>
              <w:pStyle w:val="NoSpace"/>
            </w:pPr>
            <w:r w:rsidRPr="004B10E6">
              <w:t xml:space="preserve">CAPEX and OPEX of natural gas projects are excluded from this perimeter. CAPEX of natural gas projects </w:t>
            </w:r>
            <w:r w:rsidR="00771202">
              <w:t>is</w:t>
            </w:r>
            <w:r w:rsidRPr="004B10E6">
              <w:t xml:space="preserve"> captured in the indicator </w:t>
            </w:r>
            <w:r>
              <w:t>INV</w:t>
            </w:r>
            <w:r w:rsidRPr="004B10E6">
              <w:t xml:space="preserve">.1. </w:t>
            </w:r>
          </w:p>
          <w:p w14:paraId="47C51F0E" w14:textId="00F8EF6B" w:rsidR="004B10E6" w:rsidRPr="004B10E6" w:rsidRDefault="004B10E6" w:rsidP="004B10E6">
            <w:pPr>
              <w:pStyle w:val="NoSpace"/>
            </w:pPr>
            <w:r w:rsidRPr="004B10E6">
              <w:t xml:space="preserve">This indicator does not account for acquisitions (intended as mergers or acquisitions of companies and/or start-up operating on low carbon projects/activities). Acquisitions are captured in </w:t>
            </w:r>
            <w:r>
              <w:t>INV</w:t>
            </w:r>
            <w:r w:rsidRPr="004B10E6">
              <w:t>.3.</w:t>
            </w:r>
          </w:p>
          <w:p w14:paraId="1360A28E" w14:textId="3B05C019" w:rsidR="00806826" w:rsidRPr="004B10E6" w:rsidRDefault="004B10E6" w:rsidP="00F358DC">
            <w:pPr>
              <w:pStyle w:val="NoSpace"/>
            </w:pPr>
            <w:r w:rsidRPr="004B10E6">
              <w:rPr>
                <w:rFonts w:asciiTheme="minorHAnsi" w:eastAsiaTheme="minorHAnsi" w:hAnsiTheme="minorHAnsi" w:cstheme="minorBidi"/>
                <w:color w:val="auto"/>
                <w:szCs w:val="22"/>
                <w:lang w:eastAsia="en-US"/>
              </w:rPr>
              <w:t>Money spent on programs and/or partnerships with universities and other organisations are excluded.</w:t>
            </w:r>
          </w:p>
        </w:tc>
      </w:tr>
      <w:tr w:rsidR="0029782D" w:rsidRPr="002113F1" w14:paraId="662AD2D4" w14:textId="77777777" w:rsidTr="00272D6D">
        <w:trPr>
          <w:trHeight w:val="397"/>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80134" w14:textId="5C78D596" w:rsidR="0029782D" w:rsidRPr="002113F1" w:rsidRDefault="0029782D" w:rsidP="0029782D">
            <w:pPr>
              <w:jc w:val="center"/>
              <w:rPr>
                <w:rFonts w:ascii="Calibri" w:eastAsia="Times New Roman" w:hAnsi="Calibri" w:cs="Times New Roman"/>
                <w:b/>
                <w:bCs/>
                <w:color w:val="000000"/>
                <w:szCs w:val="20"/>
                <w:lang w:eastAsia="it-IT"/>
              </w:rPr>
            </w:pPr>
            <w:r w:rsidRPr="002113F1">
              <w:rPr>
                <w:rFonts w:ascii="Calibri" w:eastAsia="Times New Roman" w:hAnsi="Calibri" w:cs="Times New Roman"/>
                <w:b/>
                <w:bCs/>
                <w:color w:val="000000"/>
                <w:szCs w:val="20"/>
                <w:lang w:eastAsia="it-IT"/>
              </w:rPr>
              <w:lastRenderedPageBreak/>
              <w:t>Methodology</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14:paraId="5CEC093A" w14:textId="1B8CCCB9" w:rsidR="00991F31" w:rsidRPr="004B10E6" w:rsidRDefault="004B10E6" w:rsidP="00F358DC">
            <w:pPr>
              <w:pStyle w:val="NoSpace"/>
            </w:pPr>
            <w:r w:rsidRPr="004B10E6">
              <w:t>Companies should consider only the CAPEX spent during the year and not the total CAPEX of a project.</w:t>
            </w:r>
          </w:p>
        </w:tc>
      </w:tr>
      <w:tr w:rsidR="004B10E6" w:rsidRPr="002113F1" w14:paraId="111C8B10" w14:textId="77777777" w:rsidTr="00F005BE">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70A47" w14:textId="17621FE0" w:rsidR="004B10E6" w:rsidRPr="002113F1" w:rsidRDefault="004B10E6" w:rsidP="004B10E6">
            <w:pPr>
              <w:jc w:val="center"/>
              <w:rPr>
                <w:rFonts w:ascii="Calibri" w:eastAsia="Times New Roman" w:hAnsi="Calibri" w:cs="Times New Roman"/>
                <w:b/>
                <w:bCs/>
                <w:color w:val="000000"/>
                <w:szCs w:val="20"/>
                <w:lang w:eastAsia="it-IT"/>
              </w:rPr>
            </w:pPr>
            <w:r w:rsidRPr="002113F1">
              <w:rPr>
                <w:rFonts w:ascii="Calibri" w:eastAsia="Times New Roman" w:hAnsi="Calibri" w:cs="Times New Roman"/>
                <w:b/>
                <w:bCs/>
                <w:color w:val="000000"/>
                <w:szCs w:val="20"/>
                <w:lang w:eastAsia="it-IT"/>
              </w:rPr>
              <w:t xml:space="preserve">Unit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14:paraId="2181F18E" w14:textId="03968949" w:rsidR="004B10E6" w:rsidRPr="004B10E6" w:rsidRDefault="004B10E6" w:rsidP="004B10E6">
            <w:pPr>
              <w:rPr>
                <w:rFonts w:ascii="Calibri" w:eastAsia="Times New Roman" w:hAnsi="Calibri" w:cs="Times New Roman"/>
                <w:color w:val="000000"/>
                <w:szCs w:val="20"/>
                <w:lang w:eastAsia="it-IT"/>
              </w:rPr>
            </w:pPr>
            <w:r>
              <w:rPr>
                <w:rFonts w:ascii="Calibri" w:eastAsia="Times New Roman" w:hAnsi="Calibri" w:cs="Times New Roman"/>
                <w:color w:val="000000"/>
                <w:szCs w:val="20"/>
                <w:lang w:eastAsia="it-IT"/>
              </w:rPr>
              <w:t>M</w:t>
            </w:r>
            <w:r w:rsidRPr="004B10E6">
              <w:rPr>
                <w:rFonts w:ascii="Calibri" w:eastAsia="Times New Roman" w:hAnsi="Calibri" w:cs="Times New Roman"/>
                <w:color w:val="000000"/>
                <w:szCs w:val="20"/>
                <w:lang w:eastAsia="it-IT"/>
              </w:rPr>
              <w:t>illions of USD [MM USD].</w:t>
            </w:r>
          </w:p>
        </w:tc>
      </w:tr>
      <w:tr w:rsidR="0087307B" w:rsidRPr="002113F1" w14:paraId="5F24EC06" w14:textId="77777777" w:rsidTr="00F005BE">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F9A51" w14:textId="77777777" w:rsidR="0087307B" w:rsidRPr="002113F1" w:rsidRDefault="0087307B" w:rsidP="0029782D">
            <w:pPr>
              <w:jc w:val="center"/>
              <w:rPr>
                <w:rFonts w:ascii="Calibri" w:eastAsia="Times New Roman" w:hAnsi="Calibri" w:cs="Times New Roman"/>
                <w:b/>
                <w:bCs/>
                <w:color w:val="000000"/>
                <w:szCs w:val="20"/>
                <w:lang w:eastAsia="it-IT"/>
              </w:rPr>
            </w:pPr>
            <w:r w:rsidRPr="002113F1">
              <w:rPr>
                <w:rFonts w:ascii="Calibri" w:eastAsia="Times New Roman" w:hAnsi="Calibri" w:cs="Times New Roman"/>
                <w:b/>
                <w:bCs/>
                <w:color w:val="000000"/>
                <w:szCs w:val="20"/>
                <w:lang w:eastAsia="it-IT"/>
              </w:rPr>
              <w:t>External references</w:t>
            </w:r>
          </w:p>
        </w:tc>
        <w:tc>
          <w:tcPr>
            <w:tcW w:w="8363" w:type="dxa"/>
            <w:tcBorders>
              <w:top w:val="single" w:sz="4" w:space="0" w:color="auto"/>
              <w:left w:val="nil"/>
              <w:bottom w:val="single" w:sz="4" w:space="0" w:color="auto"/>
              <w:right w:val="single" w:sz="4" w:space="0" w:color="auto"/>
            </w:tcBorders>
            <w:shd w:val="clear" w:color="auto" w:fill="auto"/>
            <w:vAlign w:val="center"/>
          </w:tcPr>
          <w:p w14:paraId="649FBD10" w14:textId="798620A3" w:rsidR="0087307B" w:rsidRPr="004B10E6" w:rsidRDefault="009372B6" w:rsidP="00DD2DAD">
            <w:pPr>
              <w:rPr>
                <w:rFonts w:ascii="Calibri" w:eastAsia="Times New Roman" w:hAnsi="Calibri" w:cs="Times New Roman"/>
                <w:color w:val="000000"/>
                <w:szCs w:val="20"/>
                <w:lang w:eastAsia="it-IT"/>
              </w:rPr>
            </w:pPr>
            <w:r>
              <w:rPr>
                <w:rFonts w:ascii="Calibri" w:eastAsia="Times New Roman" w:hAnsi="Calibri" w:cs="Times New Roman"/>
                <w:color w:val="000000"/>
                <w:szCs w:val="20"/>
                <w:lang w:eastAsia="it-IT"/>
              </w:rPr>
              <w:t>NA</w:t>
            </w:r>
          </w:p>
        </w:tc>
      </w:tr>
    </w:tbl>
    <w:p w14:paraId="7AEE73C4" w14:textId="7A06A048" w:rsidR="00B071FC" w:rsidRPr="00725497" w:rsidRDefault="00B071FC" w:rsidP="003E111D">
      <w:pPr>
        <w:spacing w:after="0"/>
        <w:rPr>
          <w:sz w:val="10"/>
          <w:szCs w:val="12"/>
        </w:rPr>
      </w:pPr>
    </w:p>
    <w:p w14:paraId="19024767" w14:textId="77777777" w:rsidR="004B3074" w:rsidRPr="00725497" w:rsidRDefault="004B3074" w:rsidP="003E111D">
      <w:pPr>
        <w:spacing w:after="0"/>
        <w:rPr>
          <w:sz w:val="12"/>
          <w:szCs w:val="14"/>
          <w:lang w:eastAsia="fr-FR"/>
        </w:rPr>
      </w:pPr>
    </w:p>
    <w:p w14:paraId="267F7A86" w14:textId="77777777" w:rsidR="009441A1" w:rsidRPr="002113F1" w:rsidRDefault="009441A1" w:rsidP="00F005BE">
      <w:pPr>
        <w:pStyle w:val="NoSpace"/>
      </w:pPr>
    </w:p>
    <w:p w14:paraId="531524F8" w14:textId="77777777" w:rsidR="00E45C33" w:rsidRDefault="00B10066">
      <w:pPr>
        <w:rPr>
          <w:lang w:eastAsia="fr-FR"/>
        </w:rPr>
      </w:pPr>
      <w:r w:rsidRPr="004B10E6">
        <w:rPr>
          <w:u w:val="single"/>
          <w:lang w:eastAsia="fr-FR"/>
        </w:rPr>
        <w:t>Note:</w:t>
      </w:r>
      <w:r w:rsidRPr="004B10E6">
        <w:rPr>
          <w:lang w:eastAsia="fr-FR"/>
        </w:rPr>
        <w:t xml:space="preserve"> </w:t>
      </w:r>
      <w:r w:rsidR="00D260BC" w:rsidRPr="004B10E6">
        <w:rPr>
          <w:lang w:eastAsia="fr-FR"/>
        </w:rPr>
        <w:t xml:space="preserve">The </w:t>
      </w:r>
      <w:r w:rsidR="004B3074">
        <w:rPr>
          <w:lang w:eastAsia="fr-FR"/>
        </w:rPr>
        <w:t xml:space="preserve">similar </w:t>
      </w:r>
      <w:r w:rsidR="00D260BC" w:rsidRPr="004B10E6">
        <w:rPr>
          <w:lang w:eastAsia="fr-FR"/>
        </w:rPr>
        <w:t>indicator</w:t>
      </w:r>
      <w:r w:rsidR="004B3074">
        <w:rPr>
          <w:lang w:eastAsia="fr-FR"/>
        </w:rPr>
        <w:t>s</w:t>
      </w:r>
      <w:r w:rsidR="00D260BC" w:rsidRPr="004B10E6">
        <w:rPr>
          <w:lang w:eastAsia="fr-FR"/>
        </w:rPr>
        <w:t xml:space="preserve"> </w:t>
      </w:r>
      <w:r w:rsidR="009372B6">
        <w:rPr>
          <w:lang w:eastAsia="fr-FR"/>
        </w:rPr>
        <w:t>INV</w:t>
      </w:r>
      <w:r w:rsidR="00412460" w:rsidRPr="004B10E6">
        <w:rPr>
          <w:lang w:eastAsia="fr-FR"/>
        </w:rPr>
        <w:t>.</w:t>
      </w:r>
      <w:r w:rsidR="009372B6">
        <w:rPr>
          <w:lang w:eastAsia="fr-FR"/>
        </w:rPr>
        <w:t>2</w:t>
      </w:r>
      <w:r w:rsidR="00E45C33">
        <w:rPr>
          <w:lang w:eastAsia="fr-FR"/>
        </w:rPr>
        <w:t xml:space="preserve"> is</w:t>
      </w:r>
      <w:r w:rsidR="00DF07AE" w:rsidRPr="004B10E6">
        <w:rPr>
          <w:lang w:eastAsia="fr-FR"/>
        </w:rPr>
        <w:t xml:space="preserve"> asked for acquisitions</w:t>
      </w:r>
      <w:r w:rsidR="00B071FC">
        <w:rPr>
          <w:lang w:eastAsia="fr-FR"/>
        </w:rPr>
        <w:t xml:space="preserve"> or equity</w:t>
      </w:r>
      <w:r w:rsidR="00DF07AE" w:rsidRPr="004B10E6">
        <w:rPr>
          <w:lang w:eastAsia="fr-FR"/>
        </w:rPr>
        <w:t xml:space="preserve"> related investments</w:t>
      </w:r>
      <w:r w:rsidR="009372B6">
        <w:rPr>
          <w:lang w:eastAsia="fr-FR"/>
        </w:rPr>
        <w:t xml:space="preserve"> (INV.3</w:t>
      </w:r>
      <w:r w:rsidR="004B3074">
        <w:rPr>
          <w:lang w:eastAsia="fr-FR"/>
        </w:rPr>
        <w:t>, INV.31 and INV.32</w:t>
      </w:r>
      <w:r w:rsidR="009372B6">
        <w:rPr>
          <w:lang w:eastAsia="fr-FR"/>
        </w:rPr>
        <w:t>)</w:t>
      </w:r>
      <w:r w:rsidR="002832DF" w:rsidRPr="004B10E6">
        <w:rPr>
          <w:lang w:eastAsia="fr-FR"/>
        </w:rPr>
        <w:t>.</w:t>
      </w:r>
    </w:p>
    <w:p w14:paraId="47E48633" w14:textId="77777777" w:rsidR="00E85892" w:rsidRPr="002113F1" w:rsidRDefault="00E85892" w:rsidP="00F005BE">
      <w:pPr>
        <w:pStyle w:val="NoSpace"/>
      </w:pPr>
    </w:p>
    <w:tbl>
      <w:tblPr>
        <w:tblW w:w="10206" w:type="dxa"/>
        <w:tblInd w:w="-5" w:type="dxa"/>
        <w:tblCellMar>
          <w:left w:w="70" w:type="dxa"/>
          <w:right w:w="70" w:type="dxa"/>
        </w:tblCellMar>
        <w:tblLook w:val="04A0" w:firstRow="1" w:lastRow="0" w:firstColumn="1" w:lastColumn="0" w:noHBand="0" w:noVBand="1"/>
      </w:tblPr>
      <w:tblGrid>
        <w:gridCol w:w="1843"/>
        <w:gridCol w:w="8363"/>
      </w:tblGrid>
      <w:tr w:rsidR="00DF07AE" w:rsidRPr="002113F1" w14:paraId="25CC0E2D" w14:textId="77777777" w:rsidTr="00F005BE">
        <w:trPr>
          <w:trHeight w:val="340"/>
        </w:trPr>
        <w:tc>
          <w:tcPr>
            <w:tcW w:w="1843" w:type="dxa"/>
            <w:tcBorders>
              <w:top w:val="single" w:sz="4" w:space="0" w:color="auto"/>
              <w:left w:val="single" w:sz="4" w:space="0" w:color="auto"/>
              <w:bottom w:val="double" w:sz="6" w:space="0" w:color="auto"/>
              <w:right w:val="single" w:sz="4" w:space="0" w:color="auto"/>
            </w:tcBorders>
            <w:shd w:val="clear" w:color="auto" w:fill="4F81BD" w:themeFill="accent1"/>
            <w:noWrap/>
            <w:vAlign w:val="center"/>
            <w:hideMark/>
          </w:tcPr>
          <w:p w14:paraId="052C2F46" w14:textId="3DD13802" w:rsidR="00DF07AE" w:rsidRPr="004B10E6" w:rsidRDefault="00177D8C" w:rsidP="00F42123">
            <w:pPr>
              <w:jc w:val="center"/>
              <w:rPr>
                <w:rFonts w:ascii="Calibri" w:eastAsia="Times New Roman" w:hAnsi="Calibri" w:cs="Times New Roman"/>
                <w:b/>
                <w:bCs/>
                <w:color w:val="FFFFFF" w:themeColor="background1"/>
                <w:szCs w:val="20"/>
                <w:lang w:eastAsia="it-IT"/>
              </w:rPr>
            </w:pPr>
            <w:r>
              <w:rPr>
                <w:rFonts w:ascii="Calibri" w:eastAsia="Times New Roman" w:hAnsi="Calibri" w:cs="Times New Roman"/>
                <w:b/>
                <w:bCs/>
                <w:color w:val="FFFFFF" w:themeColor="background1"/>
                <w:szCs w:val="20"/>
                <w:lang w:eastAsia="it-IT"/>
              </w:rPr>
              <w:t>INV.</w:t>
            </w:r>
            <w:r w:rsidR="00336DEC">
              <w:rPr>
                <w:rFonts w:ascii="Calibri" w:eastAsia="Times New Roman" w:hAnsi="Calibri" w:cs="Times New Roman"/>
                <w:b/>
                <w:bCs/>
                <w:color w:val="FFFFFF" w:themeColor="background1"/>
                <w:szCs w:val="20"/>
                <w:lang w:eastAsia="it-IT"/>
              </w:rPr>
              <w:t>4</w:t>
            </w:r>
            <w:r>
              <w:rPr>
                <w:rFonts w:ascii="Calibri" w:eastAsia="Times New Roman" w:hAnsi="Calibri" w:cs="Times New Roman"/>
                <w:b/>
                <w:bCs/>
                <w:color w:val="FFFFFF" w:themeColor="background1"/>
                <w:szCs w:val="20"/>
                <w:lang w:eastAsia="it-IT"/>
              </w:rPr>
              <w:t>2</w:t>
            </w:r>
          </w:p>
        </w:tc>
        <w:tc>
          <w:tcPr>
            <w:tcW w:w="8363" w:type="dxa"/>
            <w:tcBorders>
              <w:top w:val="single" w:sz="4" w:space="0" w:color="auto"/>
              <w:left w:val="nil"/>
              <w:bottom w:val="double" w:sz="6" w:space="0" w:color="auto"/>
              <w:right w:val="single" w:sz="4" w:space="0" w:color="auto"/>
            </w:tcBorders>
            <w:shd w:val="clear" w:color="auto" w:fill="4F81BD" w:themeFill="accent1"/>
            <w:vAlign w:val="center"/>
            <w:hideMark/>
          </w:tcPr>
          <w:p w14:paraId="0B1E55BE" w14:textId="26594C77" w:rsidR="00DF07AE" w:rsidRPr="004B10E6" w:rsidRDefault="000D7914" w:rsidP="00D260BC">
            <w:pPr>
              <w:rPr>
                <w:rFonts w:ascii="Calibri" w:eastAsia="Times New Roman" w:hAnsi="Calibri" w:cs="Times New Roman"/>
                <w:b/>
                <w:bCs/>
                <w:color w:val="FFFFFF" w:themeColor="background1"/>
                <w:szCs w:val="20"/>
                <w:lang w:eastAsia="it-IT"/>
              </w:rPr>
            </w:pPr>
            <w:r w:rsidRPr="004B10E6">
              <w:rPr>
                <w:rFonts w:ascii="Calibri" w:eastAsia="Times New Roman" w:hAnsi="Calibri" w:cs="Times New Roman"/>
                <w:b/>
                <w:bCs/>
                <w:color w:val="FFFFFF" w:themeColor="background1"/>
                <w:szCs w:val="20"/>
                <w:lang w:eastAsia="it-IT"/>
              </w:rPr>
              <w:t xml:space="preserve">R&amp;D spent </w:t>
            </w:r>
            <w:r w:rsidR="00F84D0B" w:rsidRPr="004B10E6">
              <w:rPr>
                <w:rFonts w:ascii="Calibri" w:eastAsia="Times New Roman" w:hAnsi="Calibri" w:cs="Times New Roman"/>
                <w:b/>
                <w:bCs/>
                <w:color w:val="FFFFFF" w:themeColor="background1"/>
                <w:szCs w:val="20"/>
                <w:lang w:eastAsia="it-IT"/>
              </w:rPr>
              <w:t xml:space="preserve">on low carbon </w:t>
            </w:r>
            <w:r w:rsidR="00D260BC" w:rsidRPr="004B10E6">
              <w:rPr>
                <w:rFonts w:ascii="Calibri" w:eastAsia="Times New Roman" w:hAnsi="Calibri" w:cs="Times New Roman"/>
                <w:b/>
                <w:bCs/>
                <w:color w:val="FFFFFF" w:themeColor="background1"/>
                <w:szCs w:val="20"/>
                <w:lang w:eastAsia="it-IT"/>
              </w:rPr>
              <w:t xml:space="preserve">technologies </w:t>
            </w:r>
            <w:r w:rsidR="00CB6AB0" w:rsidRPr="004B10E6">
              <w:rPr>
                <w:rFonts w:ascii="Calibri" w:eastAsia="Times New Roman" w:hAnsi="Calibri" w:cs="Times New Roman"/>
                <w:b/>
                <w:bCs/>
                <w:color w:val="FFFFFF" w:themeColor="background1"/>
                <w:szCs w:val="20"/>
                <w:lang w:eastAsia="it-IT"/>
              </w:rPr>
              <w:t>during the reporting year</w:t>
            </w:r>
          </w:p>
        </w:tc>
      </w:tr>
      <w:tr w:rsidR="00DF07AE" w:rsidRPr="002113F1" w14:paraId="6B8D15EB" w14:textId="77777777" w:rsidTr="00F358DC">
        <w:trPr>
          <w:trHeight w:val="1035"/>
        </w:trPr>
        <w:tc>
          <w:tcPr>
            <w:tcW w:w="1843"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20489803" w14:textId="77777777" w:rsidR="00DF07AE" w:rsidRPr="004B10E6" w:rsidRDefault="00DF07AE" w:rsidP="00F42123">
            <w:pPr>
              <w:jc w:val="center"/>
              <w:rPr>
                <w:rFonts w:ascii="Calibri" w:eastAsia="Times New Roman" w:hAnsi="Calibri" w:cs="Times New Roman"/>
                <w:b/>
                <w:bCs/>
                <w:color w:val="000000"/>
                <w:szCs w:val="20"/>
                <w:lang w:eastAsia="it-IT"/>
              </w:rPr>
            </w:pPr>
            <w:r w:rsidRPr="002113F1">
              <w:rPr>
                <w:rFonts w:ascii="Calibri" w:eastAsia="Times New Roman" w:hAnsi="Calibri" w:cs="Times New Roman"/>
                <w:b/>
                <w:bCs/>
                <w:color w:val="000000"/>
                <w:szCs w:val="20"/>
                <w:lang w:eastAsia="it-IT"/>
              </w:rPr>
              <w:t>Definition and Boundary</w:t>
            </w:r>
          </w:p>
        </w:tc>
        <w:tc>
          <w:tcPr>
            <w:tcW w:w="8363" w:type="dxa"/>
            <w:tcBorders>
              <w:top w:val="double" w:sz="6" w:space="0" w:color="auto"/>
              <w:left w:val="single" w:sz="4" w:space="0" w:color="BFBFBF"/>
              <w:bottom w:val="single" w:sz="4" w:space="0" w:color="auto"/>
              <w:right w:val="single" w:sz="4" w:space="0" w:color="auto"/>
            </w:tcBorders>
            <w:shd w:val="clear" w:color="auto" w:fill="auto"/>
            <w:vAlign w:val="center"/>
            <w:hideMark/>
          </w:tcPr>
          <w:p w14:paraId="1A0BEB2F" w14:textId="39902AC2" w:rsidR="00177D8C" w:rsidRPr="00177D8C" w:rsidRDefault="00177D8C" w:rsidP="00177D8C">
            <w:pPr>
              <w:pStyle w:val="NoSpace"/>
            </w:pPr>
            <w:r w:rsidRPr="00177D8C">
              <w:t>Total R&amp;D spent during the reporting year cover the following activities:</w:t>
            </w:r>
          </w:p>
          <w:p w14:paraId="564A3BD2" w14:textId="77777777" w:rsidR="00177D8C" w:rsidRPr="00177D8C" w:rsidRDefault="00177D8C" w:rsidP="0035559C">
            <w:pPr>
              <w:pStyle w:val="NoSpace"/>
              <w:numPr>
                <w:ilvl w:val="0"/>
                <w:numId w:val="24"/>
              </w:numPr>
            </w:pPr>
            <w:r w:rsidRPr="00177D8C">
              <w:t>Renewables activities (wind, solar, hydro, storage)</w:t>
            </w:r>
          </w:p>
          <w:p w14:paraId="78E5C7A5" w14:textId="77777777" w:rsidR="00177D8C" w:rsidRPr="00177D8C" w:rsidRDefault="00177D8C" w:rsidP="0035559C">
            <w:pPr>
              <w:pStyle w:val="NoSpace"/>
              <w:numPr>
                <w:ilvl w:val="0"/>
                <w:numId w:val="24"/>
              </w:numPr>
            </w:pPr>
            <w:r w:rsidRPr="00177D8C">
              <w:t>CCUS</w:t>
            </w:r>
          </w:p>
          <w:p w14:paraId="2228F569" w14:textId="77777777" w:rsidR="00177D8C" w:rsidRPr="00177D8C" w:rsidRDefault="00177D8C" w:rsidP="0035559C">
            <w:pPr>
              <w:pStyle w:val="NoSpace"/>
              <w:numPr>
                <w:ilvl w:val="0"/>
                <w:numId w:val="24"/>
              </w:numPr>
            </w:pPr>
            <w:r w:rsidRPr="00177D8C">
              <w:t>Energy efficiency when the main purpose</w:t>
            </w:r>
          </w:p>
          <w:p w14:paraId="185B8959" w14:textId="77777777" w:rsidR="00177D8C" w:rsidRPr="00177D8C" w:rsidRDefault="00177D8C" w:rsidP="0035559C">
            <w:pPr>
              <w:pStyle w:val="NoSpace"/>
              <w:numPr>
                <w:ilvl w:val="0"/>
                <w:numId w:val="24"/>
              </w:numPr>
            </w:pPr>
            <w:r w:rsidRPr="00177D8C">
              <w:t xml:space="preserve">Biofuels </w:t>
            </w:r>
          </w:p>
          <w:p w14:paraId="0AB0EAC2" w14:textId="77777777" w:rsidR="00177D8C" w:rsidRPr="00177D8C" w:rsidRDefault="00177D8C" w:rsidP="0035559C">
            <w:pPr>
              <w:pStyle w:val="NoSpace"/>
              <w:numPr>
                <w:ilvl w:val="0"/>
                <w:numId w:val="24"/>
              </w:numPr>
            </w:pPr>
            <w:r w:rsidRPr="00177D8C">
              <w:t>Blue or green hydrogen</w:t>
            </w:r>
          </w:p>
          <w:p w14:paraId="402ADCA2" w14:textId="77777777" w:rsidR="00177D8C" w:rsidRPr="00177D8C" w:rsidRDefault="00177D8C" w:rsidP="0035559C">
            <w:pPr>
              <w:pStyle w:val="NoSpace"/>
              <w:numPr>
                <w:ilvl w:val="0"/>
                <w:numId w:val="24"/>
              </w:numPr>
            </w:pPr>
            <w:r w:rsidRPr="00177D8C">
              <w:t>Sustainable mobility</w:t>
            </w:r>
          </w:p>
          <w:p w14:paraId="475F099E" w14:textId="77777777" w:rsidR="00177D8C" w:rsidRPr="00177D8C" w:rsidRDefault="00177D8C" w:rsidP="0035559C">
            <w:pPr>
              <w:pStyle w:val="NoSpace"/>
              <w:numPr>
                <w:ilvl w:val="0"/>
                <w:numId w:val="24"/>
              </w:numPr>
            </w:pPr>
            <w:r w:rsidRPr="00177D8C">
              <w:t>Natural Climate solutions.</w:t>
            </w:r>
          </w:p>
          <w:p w14:paraId="4F64DD5D" w14:textId="77777777" w:rsidR="00DF07AE" w:rsidRPr="004B10E6" w:rsidRDefault="00DF07AE" w:rsidP="00F358DC">
            <w:pPr>
              <w:pStyle w:val="NoSpace"/>
              <w:rPr>
                <w:b/>
              </w:rPr>
            </w:pPr>
            <w:r w:rsidRPr="004B10E6">
              <w:rPr>
                <w:b/>
              </w:rPr>
              <w:t>Gas related activities are excluded from this definition</w:t>
            </w:r>
          </w:p>
        </w:tc>
      </w:tr>
      <w:tr w:rsidR="00011945" w:rsidRPr="002113F1" w14:paraId="2DAE8F68" w14:textId="77777777" w:rsidTr="00F358DC">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ED01C" w14:textId="77777777" w:rsidR="00011945" w:rsidRPr="002113F1" w:rsidRDefault="00011945" w:rsidP="00011945">
            <w:pPr>
              <w:jc w:val="center"/>
              <w:rPr>
                <w:rFonts w:ascii="Calibri" w:eastAsia="Times New Roman" w:hAnsi="Calibri" w:cs="Times New Roman"/>
                <w:b/>
                <w:bCs/>
                <w:color w:val="000000"/>
                <w:szCs w:val="20"/>
                <w:lang w:eastAsia="it-IT"/>
              </w:rPr>
            </w:pPr>
            <w:r w:rsidRPr="002113F1">
              <w:rPr>
                <w:rFonts w:ascii="Calibri" w:eastAsia="Times New Roman" w:hAnsi="Calibri" w:cs="Times New Roman"/>
                <w:b/>
                <w:bCs/>
                <w:color w:val="000000"/>
                <w:szCs w:val="20"/>
                <w:lang w:eastAsia="it-IT"/>
              </w:rPr>
              <w:t>Methodology</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14:paraId="498FD36B" w14:textId="302BDBDA" w:rsidR="00011945" w:rsidRPr="004B10E6" w:rsidRDefault="00011945" w:rsidP="00011945">
            <w:pPr>
              <w:pStyle w:val="NoSpace"/>
            </w:pPr>
            <w:r w:rsidRPr="004B10E6">
              <w:t xml:space="preserve">Same as </w:t>
            </w:r>
            <w:r>
              <w:t>INV.31</w:t>
            </w:r>
          </w:p>
        </w:tc>
      </w:tr>
      <w:tr w:rsidR="00F84D0B" w:rsidRPr="002113F1" w14:paraId="3EBAE654" w14:textId="77777777" w:rsidTr="00F005BE">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052F6" w14:textId="624F6938" w:rsidR="00F84D0B" w:rsidRPr="002113F1" w:rsidRDefault="00F84D0B" w:rsidP="00F84D0B">
            <w:pPr>
              <w:jc w:val="center"/>
              <w:rPr>
                <w:rFonts w:ascii="Calibri" w:eastAsia="Times New Roman" w:hAnsi="Calibri" w:cs="Times New Roman"/>
                <w:b/>
                <w:bCs/>
                <w:color w:val="000000"/>
                <w:szCs w:val="20"/>
                <w:lang w:eastAsia="it-IT"/>
              </w:rPr>
            </w:pPr>
            <w:r w:rsidRPr="002113F1">
              <w:rPr>
                <w:rFonts w:ascii="Calibri" w:eastAsia="Times New Roman" w:hAnsi="Calibri" w:cs="Times New Roman"/>
                <w:b/>
                <w:bCs/>
                <w:color w:val="000000"/>
                <w:szCs w:val="20"/>
                <w:lang w:eastAsia="it-IT"/>
              </w:rPr>
              <w:t xml:space="preserve">Unit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14:paraId="19D5EB91" w14:textId="1D9DF46B" w:rsidR="00F84D0B" w:rsidRPr="004B10E6" w:rsidRDefault="003A1B0D" w:rsidP="00F84D0B">
            <w:pPr>
              <w:rPr>
                <w:rFonts w:ascii="Calibri" w:eastAsia="Times New Roman" w:hAnsi="Calibri" w:cs="Times New Roman"/>
                <w:color w:val="000000"/>
                <w:szCs w:val="20"/>
                <w:lang w:eastAsia="it-IT"/>
              </w:rPr>
            </w:pPr>
            <w:r w:rsidRPr="004B10E6">
              <w:rPr>
                <w:rFonts w:ascii="Calibri" w:eastAsia="Times New Roman" w:hAnsi="Calibri" w:cs="Times New Roman"/>
                <w:color w:val="000000"/>
                <w:szCs w:val="20"/>
                <w:lang w:eastAsia="it-IT"/>
              </w:rPr>
              <w:t xml:space="preserve">Same as </w:t>
            </w:r>
            <w:r w:rsidR="00177D8C">
              <w:rPr>
                <w:rFonts w:ascii="Calibri" w:eastAsia="Times New Roman" w:hAnsi="Calibri" w:cs="Times New Roman"/>
                <w:color w:val="000000"/>
                <w:szCs w:val="20"/>
                <w:lang w:eastAsia="it-IT"/>
              </w:rPr>
              <w:t>INV.31</w:t>
            </w:r>
          </w:p>
        </w:tc>
      </w:tr>
      <w:tr w:rsidR="00011945" w:rsidRPr="002113F1" w14:paraId="3F67F97E" w14:textId="77777777" w:rsidTr="00F005BE">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2F763" w14:textId="77777777" w:rsidR="00011945" w:rsidRPr="002113F1" w:rsidRDefault="00011945" w:rsidP="00011945">
            <w:pPr>
              <w:jc w:val="center"/>
              <w:rPr>
                <w:rFonts w:ascii="Calibri" w:eastAsia="Times New Roman" w:hAnsi="Calibri" w:cs="Times New Roman"/>
                <w:b/>
                <w:bCs/>
                <w:color w:val="000000"/>
                <w:szCs w:val="20"/>
                <w:lang w:eastAsia="it-IT"/>
              </w:rPr>
            </w:pPr>
            <w:r w:rsidRPr="002113F1">
              <w:rPr>
                <w:rFonts w:ascii="Calibri" w:eastAsia="Times New Roman" w:hAnsi="Calibri" w:cs="Times New Roman"/>
                <w:b/>
                <w:bCs/>
                <w:color w:val="000000"/>
                <w:szCs w:val="20"/>
                <w:lang w:eastAsia="it-IT"/>
              </w:rPr>
              <w:t>External references</w:t>
            </w:r>
          </w:p>
        </w:tc>
        <w:tc>
          <w:tcPr>
            <w:tcW w:w="8363" w:type="dxa"/>
            <w:tcBorders>
              <w:top w:val="single" w:sz="4" w:space="0" w:color="auto"/>
              <w:left w:val="nil"/>
              <w:bottom w:val="single" w:sz="4" w:space="0" w:color="auto"/>
              <w:right w:val="single" w:sz="4" w:space="0" w:color="auto"/>
            </w:tcBorders>
            <w:shd w:val="clear" w:color="auto" w:fill="auto"/>
            <w:vAlign w:val="center"/>
          </w:tcPr>
          <w:p w14:paraId="0F7966C3" w14:textId="23615F15" w:rsidR="00011945" w:rsidRPr="004B10E6" w:rsidRDefault="00011945" w:rsidP="00011945">
            <w:pPr>
              <w:rPr>
                <w:rFonts w:ascii="Calibri" w:eastAsia="Times New Roman" w:hAnsi="Calibri" w:cs="Times New Roman"/>
                <w:color w:val="000000"/>
                <w:szCs w:val="20"/>
                <w:lang w:eastAsia="it-IT"/>
              </w:rPr>
            </w:pPr>
            <w:r w:rsidRPr="004B10E6">
              <w:rPr>
                <w:rFonts w:ascii="Calibri" w:eastAsia="Times New Roman" w:hAnsi="Calibri" w:cs="Times New Roman"/>
                <w:color w:val="000000"/>
                <w:szCs w:val="20"/>
                <w:lang w:eastAsia="it-IT"/>
              </w:rPr>
              <w:t xml:space="preserve">Same as </w:t>
            </w:r>
            <w:r>
              <w:rPr>
                <w:rFonts w:ascii="Calibri" w:eastAsia="Times New Roman" w:hAnsi="Calibri" w:cs="Times New Roman"/>
                <w:color w:val="000000"/>
                <w:szCs w:val="20"/>
                <w:lang w:eastAsia="it-IT"/>
              </w:rPr>
              <w:t>INV.31</w:t>
            </w:r>
          </w:p>
        </w:tc>
      </w:tr>
    </w:tbl>
    <w:p w14:paraId="610FC240" w14:textId="77777777" w:rsidR="00011945" w:rsidRPr="002113F1" w:rsidRDefault="00011945" w:rsidP="00011945">
      <w:pPr>
        <w:pStyle w:val="NoSpace"/>
      </w:pPr>
    </w:p>
    <w:tbl>
      <w:tblPr>
        <w:tblW w:w="10206" w:type="dxa"/>
        <w:tblInd w:w="-5" w:type="dxa"/>
        <w:tblCellMar>
          <w:left w:w="70" w:type="dxa"/>
          <w:right w:w="70" w:type="dxa"/>
        </w:tblCellMar>
        <w:tblLook w:val="04A0" w:firstRow="1" w:lastRow="0" w:firstColumn="1" w:lastColumn="0" w:noHBand="0" w:noVBand="1"/>
      </w:tblPr>
      <w:tblGrid>
        <w:gridCol w:w="1843"/>
        <w:gridCol w:w="8363"/>
      </w:tblGrid>
      <w:tr w:rsidR="00457E72" w:rsidRPr="002113F1" w14:paraId="7BAA3C2C" w14:textId="77777777" w:rsidTr="00F005BE">
        <w:trPr>
          <w:trHeight w:val="340"/>
        </w:trPr>
        <w:tc>
          <w:tcPr>
            <w:tcW w:w="1843" w:type="dxa"/>
            <w:tcBorders>
              <w:top w:val="single" w:sz="4" w:space="0" w:color="auto"/>
              <w:left w:val="single" w:sz="4" w:space="0" w:color="auto"/>
              <w:bottom w:val="double" w:sz="6" w:space="0" w:color="auto"/>
              <w:right w:val="single" w:sz="4" w:space="0" w:color="auto"/>
            </w:tcBorders>
            <w:shd w:val="clear" w:color="auto" w:fill="4F81BD" w:themeFill="accent1"/>
            <w:noWrap/>
            <w:vAlign w:val="center"/>
            <w:hideMark/>
          </w:tcPr>
          <w:p w14:paraId="1A17BD5F" w14:textId="73D1A4CB" w:rsidR="00457E72" w:rsidRPr="004B10E6" w:rsidRDefault="00011945" w:rsidP="00CE523D">
            <w:pPr>
              <w:jc w:val="center"/>
              <w:rPr>
                <w:rFonts w:ascii="Calibri" w:eastAsia="Times New Roman" w:hAnsi="Calibri" w:cs="Times New Roman"/>
                <w:b/>
                <w:bCs/>
                <w:color w:val="FFFFFF" w:themeColor="background1"/>
                <w:szCs w:val="20"/>
                <w:lang w:eastAsia="it-IT"/>
              </w:rPr>
            </w:pPr>
            <w:r>
              <w:rPr>
                <w:rFonts w:ascii="Calibri" w:eastAsia="Times New Roman" w:hAnsi="Calibri" w:cs="Times New Roman"/>
                <w:b/>
                <w:bCs/>
                <w:color w:val="FFFFFF" w:themeColor="background1"/>
                <w:szCs w:val="20"/>
                <w:lang w:eastAsia="it-IT"/>
              </w:rPr>
              <w:t>INV</w:t>
            </w:r>
            <w:r w:rsidR="00803FCC" w:rsidRPr="004B10E6">
              <w:rPr>
                <w:rFonts w:ascii="Calibri" w:eastAsia="Times New Roman" w:hAnsi="Calibri" w:cs="Times New Roman"/>
                <w:b/>
                <w:bCs/>
                <w:color w:val="FFFFFF" w:themeColor="background1"/>
                <w:szCs w:val="20"/>
                <w:lang w:eastAsia="it-IT"/>
              </w:rPr>
              <w:t>.</w:t>
            </w:r>
            <w:r w:rsidR="00336DEC">
              <w:rPr>
                <w:rFonts w:ascii="Calibri" w:eastAsia="Times New Roman" w:hAnsi="Calibri" w:cs="Times New Roman"/>
                <w:b/>
                <w:bCs/>
                <w:color w:val="FFFFFF" w:themeColor="background1"/>
                <w:szCs w:val="20"/>
                <w:lang w:eastAsia="it-IT"/>
              </w:rPr>
              <w:t>4</w:t>
            </w:r>
          </w:p>
        </w:tc>
        <w:tc>
          <w:tcPr>
            <w:tcW w:w="8363" w:type="dxa"/>
            <w:tcBorders>
              <w:top w:val="single" w:sz="4" w:space="0" w:color="auto"/>
              <w:left w:val="nil"/>
              <w:bottom w:val="double" w:sz="6" w:space="0" w:color="auto"/>
              <w:right w:val="single" w:sz="4" w:space="0" w:color="auto"/>
            </w:tcBorders>
            <w:shd w:val="clear" w:color="auto" w:fill="4F81BD" w:themeFill="accent1"/>
            <w:vAlign w:val="center"/>
            <w:hideMark/>
          </w:tcPr>
          <w:p w14:paraId="1BC8A68D" w14:textId="58EF4354" w:rsidR="00457E72" w:rsidRPr="004B10E6" w:rsidRDefault="00457E72" w:rsidP="00CE523D">
            <w:pPr>
              <w:rPr>
                <w:rFonts w:ascii="Calibri" w:eastAsia="Times New Roman" w:hAnsi="Calibri" w:cs="Times New Roman"/>
                <w:b/>
                <w:bCs/>
                <w:color w:val="FFFFFF" w:themeColor="background1"/>
                <w:szCs w:val="20"/>
                <w:lang w:eastAsia="it-IT"/>
              </w:rPr>
            </w:pPr>
            <w:r w:rsidRPr="004B10E6">
              <w:rPr>
                <w:rFonts w:ascii="Calibri" w:eastAsia="Times New Roman" w:hAnsi="Calibri" w:cs="Times New Roman"/>
                <w:b/>
                <w:bCs/>
                <w:color w:val="FFFFFF" w:themeColor="background1"/>
                <w:szCs w:val="20"/>
                <w:lang w:eastAsia="it-IT"/>
              </w:rPr>
              <w:t>Share of R&amp;D budget spent on low carbon technology</w:t>
            </w:r>
          </w:p>
        </w:tc>
      </w:tr>
      <w:tr w:rsidR="00457E72" w:rsidRPr="002113F1" w14:paraId="2C3B8513" w14:textId="77777777" w:rsidTr="00F358DC">
        <w:trPr>
          <w:trHeight w:val="524"/>
        </w:trPr>
        <w:tc>
          <w:tcPr>
            <w:tcW w:w="1843"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4CD352BA" w14:textId="77777777" w:rsidR="00457E72" w:rsidRPr="004B10E6" w:rsidRDefault="00457E72" w:rsidP="00CE523D">
            <w:pPr>
              <w:jc w:val="center"/>
              <w:rPr>
                <w:rFonts w:ascii="Calibri" w:eastAsia="Times New Roman" w:hAnsi="Calibri" w:cs="Times New Roman"/>
                <w:b/>
                <w:bCs/>
                <w:color w:val="000000"/>
                <w:szCs w:val="20"/>
                <w:lang w:eastAsia="it-IT"/>
              </w:rPr>
            </w:pPr>
            <w:r w:rsidRPr="002113F1">
              <w:rPr>
                <w:rFonts w:ascii="Calibri" w:eastAsia="Times New Roman" w:hAnsi="Calibri" w:cs="Times New Roman"/>
                <w:b/>
                <w:bCs/>
                <w:color w:val="000000"/>
                <w:szCs w:val="20"/>
                <w:lang w:eastAsia="it-IT"/>
              </w:rPr>
              <w:t>Definition and Boundary</w:t>
            </w:r>
          </w:p>
        </w:tc>
        <w:tc>
          <w:tcPr>
            <w:tcW w:w="8363" w:type="dxa"/>
            <w:tcBorders>
              <w:top w:val="double" w:sz="6" w:space="0" w:color="auto"/>
              <w:left w:val="single" w:sz="4" w:space="0" w:color="BFBFBF"/>
              <w:bottom w:val="single" w:sz="4" w:space="0" w:color="auto"/>
              <w:right w:val="single" w:sz="4" w:space="0" w:color="auto"/>
            </w:tcBorders>
            <w:shd w:val="clear" w:color="auto" w:fill="auto"/>
            <w:vAlign w:val="center"/>
            <w:hideMark/>
          </w:tcPr>
          <w:p w14:paraId="62199564" w14:textId="545E0745" w:rsidR="00457E72" w:rsidRPr="004B10E6" w:rsidRDefault="00457E72" w:rsidP="00F358DC">
            <w:pPr>
              <w:pStyle w:val="NoSpace"/>
            </w:pPr>
            <w:r w:rsidRPr="004B10E6">
              <w:t xml:space="preserve">This indicator is calculated based on </w:t>
            </w:r>
            <w:r w:rsidR="00011945">
              <w:t>INV.31</w:t>
            </w:r>
            <w:r w:rsidRPr="004B10E6">
              <w:t>. (</w:t>
            </w:r>
            <w:r w:rsidR="00011945" w:rsidRPr="004B10E6">
              <w:rPr>
                <w:bCs/>
              </w:rPr>
              <w:t>Total R&amp;D spent during the reporting year</w:t>
            </w:r>
            <w:r w:rsidR="00011945">
              <w:rPr>
                <w:bCs/>
              </w:rPr>
              <w:t>) and INV.32 (</w:t>
            </w:r>
            <w:r w:rsidRPr="004B10E6">
              <w:t>R&amp;D spent on low carbon technolog</w:t>
            </w:r>
            <w:r w:rsidR="00011945">
              <w:t>ies</w:t>
            </w:r>
            <w:r w:rsidRPr="004B10E6">
              <w:t>)</w:t>
            </w:r>
            <w:r w:rsidR="00011945">
              <w:t>.</w:t>
            </w:r>
          </w:p>
          <w:p w14:paraId="0A8505C8" w14:textId="3649CE57" w:rsidR="00457E72" w:rsidRPr="004B10E6" w:rsidRDefault="00457E72" w:rsidP="00CE523D">
            <w:pPr>
              <w:rPr>
                <w:rFonts w:ascii="Calibri" w:eastAsia="Times New Roman" w:hAnsi="Calibri" w:cs="Times New Roman"/>
                <w:color w:val="000000"/>
                <w:szCs w:val="20"/>
                <w:lang w:eastAsia="it-IT"/>
              </w:rPr>
            </w:pPr>
          </w:p>
        </w:tc>
      </w:tr>
      <w:tr w:rsidR="00457E72" w:rsidRPr="002113F1" w14:paraId="50176992" w14:textId="77777777" w:rsidTr="00F358DC">
        <w:trPr>
          <w:trHeight w:val="53"/>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D0552" w14:textId="77777777" w:rsidR="00457E72" w:rsidRPr="002113F1" w:rsidRDefault="00457E72" w:rsidP="00CE523D">
            <w:pPr>
              <w:jc w:val="center"/>
              <w:rPr>
                <w:rFonts w:ascii="Calibri" w:eastAsia="Times New Roman" w:hAnsi="Calibri" w:cs="Times New Roman"/>
                <w:b/>
                <w:bCs/>
                <w:color w:val="000000"/>
                <w:szCs w:val="20"/>
                <w:lang w:eastAsia="it-IT"/>
              </w:rPr>
            </w:pPr>
            <w:r w:rsidRPr="002113F1">
              <w:rPr>
                <w:rFonts w:ascii="Calibri" w:eastAsia="Times New Roman" w:hAnsi="Calibri" w:cs="Times New Roman"/>
                <w:b/>
                <w:bCs/>
                <w:color w:val="000000"/>
                <w:szCs w:val="20"/>
                <w:lang w:eastAsia="it-IT"/>
              </w:rPr>
              <w:t>Methodology</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14:paraId="45B872C2" w14:textId="24169571" w:rsidR="00457E72" w:rsidRPr="004B10E6" w:rsidRDefault="00011945" w:rsidP="00CE523D">
            <w:pPr>
              <w:rPr>
                <w:rFonts w:ascii="Calibri" w:eastAsia="Times New Roman" w:hAnsi="Calibri" w:cs="Times New Roman"/>
                <w:b/>
                <w:color w:val="000000"/>
                <w:szCs w:val="20"/>
                <w:lang w:eastAsia="it-IT"/>
              </w:rPr>
            </w:pPr>
            <w:r>
              <w:rPr>
                <w:rFonts w:ascii="Calibri" w:eastAsia="Times New Roman" w:hAnsi="Calibri" w:cs="Times New Roman"/>
                <w:b/>
                <w:color w:val="000000"/>
                <w:szCs w:val="20"/>
                <w:lang w:eastAsia="it-IT"/>
              </w:rPr>
              <w:t>INV.</w:t>
            </w:r>
            <w:r w:rsidR="0035559C">
              <w:rPr>
                <w:rFonts w:ascii="Calibri" w:eastAsia="Times New Roman" w:hAnsi="Calibri" w:cs="Times New Roman"/>
                <w:b/>
                <w:color w:val="000000"/>
                <w:szCs w:val="20"/>
                <w:lang w:eastAsia="it-IT"/>
              </w:rPr>
              <w:t>4</w:t>
            </w:r>
            <w:r>
              <w:rPr>
                <w:rFonts w:ascii="Calibri" w:eastAsia="Times New Roman" w:hAnsi="Calibri" w:cs="Times New Roman"/>
                <w:b/>
                <w:color w:val="000000"/>
                <w:szCs w:val="20"/>
                <w:lang w:eastAsia="it-IT"/>
              </w:rPr>
              <w:t>=INV.</w:t>
            </w:r>
            <w:r w:rsidR="0035559C">
              <w:rPr>
                <w:rFonts w:ascii="Calibri" w:eastAsia="Times New Roman" w:hAnsi="Calibri" w:cs="Times New Roman"/>
                <w:b/>
                <w:color w:val="000000"/>
                <w:szCs w:val="20"/>
                <w:lang w:eastAsia="it-IT"/>
              </w:rPr>
              <w:t>42</w:t>
            </w:r>
            <w:r>
              <w:rPr>
                <w:rFonts w:ascii="Calibri" w:eastAsia="Times New Roman" w:hAnsi="Calibri" w:cs="Times New Roman"/>
                <w:b/>
                <w:color w:val="000000"/>
                <w:szCs w:val="20"/>
                <w:lang w:eastAsia="it-IT"/>
              </w:rPr>
              <w:t>/INV.</w:t>
            </w:r>
            <w:r w:rsidR="0035559C">
              <w:rPr>
                <w:rFonts w:ascii="Calibri" w:eastAsia="Times New Roman" w:hAnsi="Calibri" w:cs="Times New Roman"/>
                <w:b/>
                <w:color w:val="000000"/>
                <w:szCs w:val="20"/>
                <w:lang w:eastAsia="it-IT"/>
              </w:rPr>
              <w:t>4</w:t>
            </w:r>
            <w:r>
              <w:rPr>
                <w:rFonts w:ascii="Calibri" w:eastAsia="Times New Roman" w:hAnsi="Calibri" w:cs="Times New Roman"/>
                <w:b/>
                <w:color w:val="000000"/>
                <w:szCs w:val="20"/>
                <w:lang w:eastAsia="it-IT"/>
              </w:rPr>
              <w:t>1</w:t>
            </w:r>
          </w:p>
        </w:tc>
      </w:tr>
      <w:tr w:rsidR="00457E72" w:rsidRPr="002113F1" w14:paraId="6270B74B" w14:textId="77777777" w:rsidTr="00F005BE">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9F1DD" w14:textId="4B360D0E" w:rsidR="00457E72" w:rsidRPr="002113F1" w:rsidRDefault="00457E72" w:rsidP="00CE523D">
            <w:pPr>
              <w:jc w:val="center"/>
              <w:rPr>
                <w:rFonts w:ascii="Calibri" w:eastAsia="Times New Roman" w:hAnsi="Calibri" w:cs="Times New Roman"/>
                <w:b/>
                <w:bCs/>
                <w:color w:val="000000"/>
                <w:szCs w:val="20"/>
                <w:lang w:eastAsia="it-IT"/>
              </w:rPr>
            </w:pPr>
            <w:r w:rsidRPr="002113F1">
              <w:rPr>
                <w:rFonts w:ascii="Calibri" w:eastAsia="Times New Roman" w:hAnsi="Calibri" w:cs="Times New Roman"/>
                <w:b/>
                <w:bCs/>
                <w:color w:val="000000"/>
                <w:szCs w:val="20"/>
                <w:lang w:eastAsia="it-IT"/>
              </w:rPr>
              <w:t xml:space="preserve">Unit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14:paraId="23006D60" w14:textId="779195D8" w:rsidR="00457E72" w:rsidRPr="004B10E6" w:rsidRDefault="00011945" w:rsidP="00CE523D">
            <w:pPr>
              <w:rPr>
                <w:rFonts w:ascii="Calibri" w:eastAsia="Times New Roman" w:hAnsi="Calibri" w:cs="Times New Roman"/>
                <w:color w:val="000000"/>
                <w:szCs w:val="20"/>
                <w:lang w:eastAsia="it-IT"/>
              </w:rPr>
            </w:pPr>
            <w:r>
              <w:t>P</w:t>
            </w:r>
            <w:r w:rsidR="003A1B0D" w:rsidRPr="004B10E6">
              <w:t>ercentage [%]</w:t>
            </w:r>
          </w:p>
        </w:tc>
      </w:tr>
      <w:tr w:rsidR="00457E72" w:rsidRPr="00B07C95" w14:paraId="68262DD9" w14:textId="77777777" w:rsidTr="00F005BE">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493A9" w14:textId="77777777" w:rsidR="00457E72" w:rsidRPr="002113F1" w:rsidRDefault="00457E72" w:rsidP="00CE523D">
            <w:pPr>
              <w:jc w:val="center"/>
              <w:rPr>
                <w:rFonts w:ascii="Calibri" w:eastAsia="Times New Roman" w:hAnsi="Calibri" w:cs="Times New Roman"/>
                <w:b/>
                <w:bCs/>
                <w:color w:val="000000"/>
                <w:szCs w:val="20"/>
                <w:lang w:eastAsia="it-IT"/>
              </w:rPr>
            </w:pPr>
            <w:r w:rsidRPr="002113F1">
              <w:rPr>
                <w:rFonts w:ascii="Calibri" w:eastAsia="Times New Roman" w:hAnsi="Calibri" w:cs="Times New Roman"/>
                <w:b/>
                <w:bCs/>
                <w:color w:val="000000"/>
                <w:szCs w:val="20"/>
                <w:lang w:eastAsia="it-IT"/>
              </w:rPr>
              <w:t>External references</w:t>
            </w:r>
          </w:p>
        </w:tc>
        <w:tc>
          <w:tcPr>
            <w:tcW w:w="8363" w:type="dxa"/>
            <w:tcBorders>
              <w:top w:val="single" w:sz="4" w:space="0" w:color="auto"/>
              <w:left w:val="nil"/>
              <w:bottom w:val="single" w:sz="4" w:space="0" w:color="auto"/>
              <w:right w:val="single" w:sz="4" w:space="0" w:color="auto"/>
            </w:tcBorders>
            <w:shd w:val="clear" w:color="auto" w:fill="auto"/>
            <w:vAlign w:val="center"/>
          </w:tcPr>
          <w:p w14:paraId="111184F4" w14:textId="272E67C5" w:rsidR="00457E72" w:rsidRPr="00B07C95" w:rsidRDefault="00457E72" w:rsidP="00CE523D">
            <w:pPr>
              <w:rPr>
                <w:rFonts w:ascii="Calibri" w:eastAsia="Times New Roman" w:hAnsi="Calibri" w:cs="Times New Roman"/>
                <w:color w:val="000000"/>
                <w:szCs w:val="20"/>
                <w:lang w:eastAsia="it-IT"/>
              </w:rPr>
            </w:pPr>
            <w:r w:rsidRPr="002113F1">
              <w:rPr>
                <w:rFonts w:ascii="Calibri" w:eastAsia="Times New Roman" w:hAnsi="Calibri" w:cs="Times New Roman"/>
                <w:color w:val="000000"/>
                <w:szCs w:val="20"/>
                <w:lang w:eastAsia="it-IT"/>
              </w:rPr>
              <w:t>N</w:t>
            </w:r>
            <w:r w:rsidR="00011945">
              <w:rPr>
                <w:rFonts w:ascii="Calibri" w:eastAsia="Times New Roman" w:hAnsi="Calibri" w:cs="Times New Roman"/>
                <w:color w:val="000000"/>
                <w:szCs w:val="20"/>
                <w:lang w:eastAsia="it-IT"/>
              </w:rPr>
              <w:t>A</w:t>
            </w:r>
          </w:p>
        </w:tc>
      </w:tr>
    </w:tbl>
    <w:p w14:paraId="539234C3" w14:textId="77777777" w:rsidR="00422374" w:rsidRDefault="00422374">
      <w:pPr>
        <w:spacing w:after="0" w:line="276" w:lineRule="auto"/>
        <w:jc w:val="left"/>
        <w:rPr>
          <w:rFonts w:cstheme="minorHAnsi"/>
          <w:b/>
          <w:color w:val="365F91" w:themeColor="accent1" w:themeShade="BF"/>
          <w:sz w:val="32"/>
          <w:szCs w:val="20"/>
          <w:lang w:eastAsia="fr-FR"/>
        </w:rPr>
      </w:pPr>
      <w:bookmarkStart w:id="13" w:name="_Ref18998296"/>
      <w:r>
        <w:rPr>
          <w:lang w:eastAsia="fr-FR"/>
        </w:rPr>
        <w:br w:type="page"/>
      </w:r>
    </w:p>
    <w:p w14:paraId="14DB26DA" w14:textId="24CE80DA" w:rsidR="00B5203F" w:rsidRDefault="00B5203F" w:rsidP="001F5AF9">
      <w:pPr>
        <w:pStyle w:val="Heading1"/>
        <w:rPr>
          <w:lang w:eastAsia="fr-FR"/>
        </w:rPr>
      </w:pPr>
      <w:bookmarkStart w:id="14" w:name="_Toc97226720"/>
      <w:r>
        <w:rPr>
          <w:lang w:eastAsia="fr-FR"/>
        </w:rPr>
        <w:lastRenderedPageBreak/>
        <w:t xml:space="preserve">Focus on the OGCI </w:t>
      </w:r>
      <w:r w:rsidR="0028280B">
        <w:rPr>
          <w:lang w:eastAsia="fr-FR"/>
        </w:rPr>
        <w:t>c</w:t>
      </w:r>
      <w:r>
        <w:rPr>
          <w:lang w:eastAsia="fr-FR"/>
        </w:rPr>
        <w:t xml:space="preserve">arbon </w:t>
      </w:r>
      <w:r w:rsidR="0028280B">
        <w:rPr>
          <w:lang w:eastAsia="fr-FR"/>
        </w:rPr>
        <w:t>i</w:t>
      </w:r>
      <w:r>
        <w:rPr>
          <w:lang w:eastAsia="fr-FR"/>
        </w:rPr>
        <w:t>ntensity</w:t>
      </w:r>
      <w:bookmarkEnd w:id="13"/>
      <w:r w:rsidR="0028280B">
        <w:rPr>
          <w:lang w:eastAsia="fr-FR"/>
        </w:rPr>
        <w:t xml:space="preserve"> indicator</w:t>
      </w:r>
      <w:bookmarkEnd w:id="14"/>
    </w:p>
    <w:p w14:paraId="50247610" w14:textId="77777777" w:rsidR="00B5203F" w:rsidRDefault="00B5203F" w:rsidP="00B64738">
      <w:pPr>
        <w:pStyle w:val="Heading2"/>
      </w:pPr>
      <w:r>
        <w:t>Upstream carbon intensity concept</w:t>
      </w:r>
    </w:p>
    <w:p w14:paraId="1A9A1793" w14:textId="39C6AD59" w:rsidR="00216443" w:rsidRDefault="00B5203F" w:rsidP="00B5203F">
      <w:r>
        <w:t>The OGCI upstream carbon intensity baseline and target appl</w:t>
      </w:r>
      <w:r w:rsidR="00D671B7">
        <w:t>y</w:t>
      </w:r>
      <w:r>
        <w:t xml:space="preserve"> to the upstream, operated gas and oil sector.</w:t>
      </w:r>
      <w:r w:rsidR="00EC2C0C" w:rsidRPr="00216443">
        <w:t xml:space="preserve"> </w:t>
      </w:r>
    </w:p>
    <w:p w14:paraId="15F4F1F2" w14:textId="32F013B0" w:rsidR="00216443" w:rsidRDefault="00216443" w:rsidP="00B5203F">
      <w:r w:rsidRPr="00AE0E8E">
        <w:t xml:space="preserve">The target, introduced in July 2020, is to reduce the collective average carbon intensity of member </w:t>
      </w:r>
      <w:proofErr w:type="gramStart"/>
      <w:r w:rsidRPr="00AE0E8E">
        <w:t>companies’</w:t>
      </w:r>
      <w:proofErr w:type="gramEnd"/>
      <w:r w:rsidRPr="00AE0E8E">
        <w:t xml:space="preserve"> aggregated upstream oil and gas operations</w:t>
      </w:r>
      <w:r w:rsidR="00882CC2">
        <w:t>.</w:t>
      </w:r>
    </w:p>
    <w:p w14:paraId="142D2854" w14:textId="77777777" w:rsidR="00B5203F" w:rsidRDefault="00B5203F" w:rsidP="00B5203F">
      <w:r>
        <w:t>The intensity baseline is calculated as a ratio between scope 1 (direct) + scope 2 (from electricity and steam imports) greenhouse gas emissions (CO</w:t>
      </w:r>
      <w:r w:rsidRPr="00187FA9">
        <w:rPr>
          <w:vertAlign w:val="subscript"/>
        </w:rPr>
        <w:t>2</w:t>
      </w:r>
      <w:r>
        <w:t>+CH</w:t>
      </w:r>
      <w:r w:rsidRPr="00187FA9">
        <w:rPr>
          <w:vertAlign w:val="subscript"/>
        </w:rPr>
        <w:t>4</w:t>
      </w:r>
      <w:r>
        <w:t>) (expressed in kg CO</w:t>
      </w:r>
      <w:r w:rsidRPr="00CB4E50">
        <w:rPr>
          <w:vertAlign w:val="subscript"/>
        </w:rPr>
        <w:t>2eq</w:t>
      </w:r>
      <w:r>
        <w:t>) and oil and gas production figures (expressed in boe)</w:t>
      </w:r>
      <w:r w:rsidRPr="00230223">
        <w:t xml:space="preserve"> </w:t>
      </w:r>
      <w:r>
        <w:t xml:space="preserve">for the same upstream sector. A situation in 2025 </w:t>
      </w:r>
      <w:r w:rsidR="008F71C2">
        <w:t xml:space="preserve">will be </w:t>
      </w:r>
      <w:r>
        <w:t xml:space="preserve">calculated, and the delta between 2025 and 2017 </w:t>
      </w:r>
      <w:r w:rsidR="008F71C2">
        <w:t xml:space="preserve">will be </w:t>
      </w:r>
      <w:r>
        <w:t xml:space="preserve">the reduction target. The baseline </w:t>
      </w:r>
      <w:r w:rsidR="0028280B">
        <w:t>and</w:t>
      </w:r>
      <w:r>
        <w:t xml:space="preserve"> target represent the collective carbon intensities for </w:t>
      </w:r>
      <w:proofErr w:type="gramStart"/>
      <w:r>
        <w:t>OGCI as a whole</w:t>
      </w:r>
      <w:proofErr w:type="gramEnd"/>
      <w:r>
        <w:t>.</w:t>
      </w:r>
    </w:p>
    <w:p w14:paraId="38FE5CEA" w14:textId="77777777" w:rsidR="00B5203F" w:rsidRPr="00831279" w:rsidRDefault="00B5203F" w:rsidP="00B5203F">
      <m:oMathPara>
        <m:oMath>
          <m:r>
            <w:rPr>
              <w:rFonts w:ascii="Cambria Math" w:hAnsi="Cambria Math"/>
            </w:rPr>
            <m:t>Intensity OGCI=</m:t>
          </m:r>
          <m:d>
            <m:dPr>
              <m:ctrlPr>
                <w:rPr>
                  <w:rFonts w:ascii="Cambria Math" w:hAnsi="Cambria Math"/>
                  <w:i/>
                </w:rPr>
              </m:ctrlPr>
            </m:dPr>
            <m:e>
              <m:f>
                <m:fPr>
                  <m:ctrlPr>
                    <w:rPr>
                      <w:rFonts w:ascii="Cambria Math" w:hAnsi="Cambria Math"/>
                      <w:i/>
                    </w:rPr>
                  </m:ctrlPr>
                </m:fPr>
                <m:num>
                  <m:eqArr>
                    <m:eqArrPr>
                      <m:ctrlPr>
                        <w:rPr>
                          <w:rFonts w:ascii="Cambria Math" w:hAnsi="Cambria Math"/>
                          <w:i/>
                        </w:rPr>
                      </m:ctrlPr>
                    </m:eqArrPr>
                    <m:e>
                      <m:nary>
                        <m:naryPr>
                          <m:chr m:val="∑"/>
                          <m:limLoc m:val="undOvr"/>
                          <m:subHide m:val="1"/>
                          <m:supHide m:val="1"/>
                          <m:ctrlPr>
                            <w:rPr>
                              <w:rFonts w:ascii="Cambria Math" w:hAnsi="Cambria Math"/>
                              <w:i/>
                            </w:rPr>
                          </m:ctrlPr>
                        </m:naryPr>
                        <m:sub/>
                        <m:sup/>
                        <m:e>
                          <m:r>
                            <w:rPr>
                              <w:rFonts w:ascii="Cambria Math" w:hAnsi="Cambria Math"/>
                            </w:rPr>
                            <m:t>all OGCI</m:t>
                          </m:r>
                        </m:e>
                      </m:nary>
                    </m:e>
                    <m:e>
                      <m:r>
                        <w:rPr>
                          <w:rFonts w:ascii="Cambria Math" w:hAnsi="Cambria Math"/>
                        </w:rPr>
                        <m:t>companies</m:t>
                      </m:r>
                    </m:e>
                  </m:eqArr>
                  <m:r>
                    <w:rPr>
                      <w:rFonts w:ascii="Cambria Math" w:hAnsi="Cambria Math"/>
                    </w:rPr>
                    <m:t>CO2 emissions + 25 * CH4 emissions</m:t>
                  </m:r>
                </m:num>
                <m:den>
                  <m:eqArr>
                    <m:eqArrPr>
                      <m:ctrlPr>
                        <w:rPr>
                          <w:rFonts w:ascii="Cambria Math" w:hAnsi="Cambria Math"/>
                          <w:i/>
                        </w:rPr>
                      </m:ctrlPr>
                    </m:eqArrPr>
                    <m:e>
                      <m:nary>
                        <m:naryPr>
                          <m:chr m:val="∑"/>
                          <m:limLoc m:val="undOvr"/>
                          <m:subHide m:val="1"/>
                          <m:supHide m:val="1"/>
                          <m:ctrlPr>
                            <w:rPr>
                              <w:rFonts w:ascii="Cambria Math" w:hAnsi="Cambria Math"/>
                              <w:i/>
                            </w:rPr>
                          </m:ctrlPr>
                        </m:naryPr>
                        <m:sub/>
                        <m:sup/>
                        <m:e>
                          <m:r>
                            <w:rPr>
                              <w:rFonts w:ascii="Cambria Math" w:hAnsi="Cambria Math"/>
                            </w:rPr>
                            <m:t>all OGCI</m:t>
                          </m:r>
                        </m:e>
                      </m:nary>
                    </m:e>
                    <m:e>
                      <m:r>
                        <w:rPr>
                          <w:rFonts w:ascii="Cambria Math" w:hAnsi="Cambria Math"/>
                        </w:rPr>
                        <m:t>companies</m:t>
                      </m:r>
                    </m:e>
                  </m:eqArr>
                  <m:r>
                    <w:rPr>
                      <w:rFonts w:ascii="Cambria Math" w:hAnsi="Cambria Math"/>
                    </w:rPr>
                    <m:t xml:space="preserve"> oil + gas production at point of sale</m:t>
                  </m:r>
                </m:den>
              </m:f>
            </m:e>
          </m:d>
          <m:r>
            <w:rPr>
              <w:rFonts w:ascii="Cambria Math" w:hAnsi="Cambria Math"/>
            </w:rPr>
            <m:t xml:space="preserve"> </m:t>
          </m:r>
        </m:oMath>
      </m:oMathPara>
    </w:p>
    <w:p w14:paraId="113F471D" w14:textId="73D7324A" w:rsidR="00B5203F" w:rsidRDefault="00B5203F" w:rsidP="0029589C">
      <w:pPr>
        <w:pStyle w:val="Caption"/>
      </w:pPr>
      <w:r w:rsidRPr="0075481A">
        <w:t xml:space="preserve">Figure </w:t>
      </w:r>
      <w:r w:rsidRPr="0075481A">
        <w:fldChar w:fldCharType="begin"/>
      </w:r>
      <w:r w:rsidRPr="0075481A">
        <w:instrText xml:space="preserve"> SEQ Figure \* ARABIC </w:instrText>
      </w:r>
      <w:r w:rsidRPr="0075481A">
        <w:fldChar w:fldCharType="separate"/>
      </w:r>
      <w:r w:rsidR="00120F27">
        <w:rPr>
          <w:noProof/>
        </w:rPr>
        <w:t>2</w:t>
      </w:r>
      <w:r w:rsidRPr="0075481A">
        <w:rPr>
          <w:noProof/>
        </w:rPr>
        <w:fldChar w:fldCharType="end"/>
      </w:r>
      <w:r w:rsidRPr="0075481A">
        <w:t xml:space="preserve">: Quantification of OGCI upstream </w:t>
      </w:r>
      <w:r>
        <w:t>carbon</w:t>
      </w:r>
      <w:r w:rsidRPr="0075481A">
        <w:t xml:space="preserve"> intensity  </w:t>
      </w:r>
    </w:p>
    <w:p w14:paraId="36D21537" w14:textId="248716DB" w:rsidR="00B5203F" w:rsidRDefault="00B5203F" w:rsidP="00B5203F">
      <w:pPr>
        <w:pStyle w:val="Heading2"/>
        <w:spacing w:line="257" w:lineRule="auto"/>
      </w:pPr>
      <w:r w:rsidRPr="00926367">
        <w:t>Scope of activities covered by the baseline and target</w:t>
      </w:r>
    </w:p>
    <w:p w14:paraId="60AAD95E" w14:textId="0366A9C5" w:rsidR="00B5203F" w:rsidRDefault="00B5203F" w:rsidP="00B5203F">
      <w:r>
        <w:rPr>
          <w:noProof/>
          <w:lang w:eastAsia="it-IT"/>
        </w:rPr>
        <w:t xml:space="preserve">The intensity figure covers upstream operations where OGCI member companies have operational control and for which each </w:t>
      </w:r>
      <w:r>
        <w:t>company has specific reporting routines and nomenclatures.</w:t>
      </w:r>
      <w:r>
        <w:rPr>
          <w:noProof/>
          <w:lang w:eastAsia="it-IT"/>
        </w:rPr>
        <w:t xml:space="preserve"> It includes </w:t>
      </w:r>
      <w:r w:rsidR="00ED2D2B">
        <w:t>all</w:t>
      </w:r>
      <w:r>
        <w:t xml:space="preserve"> CO</w:t>
      </w:r>
      <w:r w:rsidRPr="00416B4F">
        <w:rPr>
          <w:vertAlign w:val="subscript"/>
        </w:rPr>
        <w:t>2</w:t>
      </w:r>
      <w:r>
        <w:t xml:space="preserve"> and CH</w:t>
      </w:r>
      <w:r w:rsidRPr="00416B4F">
        <w:rPr>
          <w:vertAlign w:val="subscript"/>
        </w:rPr>
        <w:t>4</w:t>
      </w:r>
      <w:r>
        <w:t xml:space="preserve"> emissions from operated upstream assets producing oil and/or gas: 100% of emissions at the asset level are included and are not divided based on equity or entitlement shares. All sources of emissions are considered, including </w:t>
      </w:r>
      <w:r w:rsidRPr="00E54BFE">
        <w:rPr>
          <w:bCs/>
        </w:rPr>
        <w:t xml:space="preserve">emissions linked to </w:t>
      </w:r>
      <w:r w:rsidRPr="00BD6473">
        <w:rPr>
          <w:bCs/>
          <w:i/>
        </w:rPr>
        <w:t>force majeure</w:t>
      </w:r>
      <w:r w:rsidRPr="00E54BFE">
        <w:rPr>
          <w:bCs/>
        </w:rPr>
        <w:t xml:space="preserve"> events or sabotage</w:t>
      </w:r>
      <w:r w:rsidR="00D671B7">
        <w:rPr>
          <w:bCs/>
        </w:rPr>
        <w:t>.</w:t>
      </w:r>
    </w:p>
    <w:p w14:paraId="1561D58D" w14:textId="1BEBE343" w:rsidR="00B5203F" w:rsidRDefault="00B5203F" w:rsidP="00B5203F">
      <w:r>
        <w:t xml:space="preserve">Assets where an OGCI company has an equity interest, but does not function as operator, are outside of the boundary for inclusion and no emissions nor production associated with these “partner-operated” assets are included in the baseline </w:t>
      </w:r>
      <w:r w:rsidR="0028280B">
        <w:t>and</w:t>
      </w:r>
      <w:r>
        <w:t xml:space="preserve"> target, in alignment with our global definition of “operated domain” in the OGCI Reporting Framework. </w:t>
      </w:r>
    </w:p>
    <w:p w14:paraId="654A3300" w14:textId="5E42A7A4" w:rsidR="00B5203F" w:rsidRDefault="00B5203F" w:rsidP="007074E5">
      <w:r>
        <w:t xml:space="preserve">Within the context of the scope for the establishment of the intensity baseline </w:t>
      </w:r>
      <w:r w:rsidR="00824322">
        <w:t>and</w:t>
      </w:r>
      <w:r>
        <w:t xml:space="preserve"> target, </w:t>
      </w:r>
      <w:r w:rsidR="0028280B">
        <w:t>u</w:t>
      </w:r>
      <w:r w:rsidRPr="002B355F">
        <w:t xml:space="preserve">pstream activities comprise all operations from </w:t>
      </w:r>
      <w:r>
        <w:t xml:space="preserve">exploration </w:t>
      </w:r>
      <w:r w:rsidRPr="002B355F">
        <w:t>to</w:t>
      </w:r>
      <w:r>
        <w:t xml:space="preserve"> </w:t>
      </w:r>
      <w:r w:rsidRPr="002B355F">
        <w:t>production and gas processing (up to the first point of sale</w:t>
      </w:r>
      <w:r>
        <w:rPr>
          <w:rStyle w:val="FootnoteReference"/>
        </w:rPr>
        <w:footnoteReference w:id="4"/>
      </w:r>
      <w:r w:rsidRPr="002B355F">
        <w:t xml:space="preserve">), </w:t>
      </w:r>
      <w:r w:rsidR="00D671B7">
        <w:t>excluding</w:t>
      </w:r>
      <w:r w:rsidRPr="002B355F">
        <w:t xml:space="preserve"> </w:t>
      </w:r>
      <w:r w:rsidR="00216443">
        <w:t xml:space="preserve">gas liquefaction processes such as </w:t>
      </w:r>
      <w:r w:rsidRPr="002B355F">
        <w:t>LNG</w:t>
      </w:r>
      <w:r>
        <w:t xml:space="preserve"> operations</w:t>
      </w:r>
      <w:r w:rsidR="00216443">
        <w:t xml:space="preserve"> and gas-to-liquids</w:t>
      </w:r>
      <w:r w:rsidRPr="002B355F">
        <w:t>.</w:t>
      </w:r>
      <w:r>
        <w:t xml:space="preserve"> More specifically, upstream is defined in line with the concept referenced in the IEA’s Outlook</w:t>
      </w:r>
      <w:r>
        <w:rPr>
          <w:rStyle w:val="FootnoteReference"/>
        </w:rPr>
        <w:footnoteReference w:id="5"/>
      </w:r>
      <w:r>
        <w:t xml:space="preserve"> as including the production of oil and gas, as well as the gathering and processing of natural gas. In the case of tolling agreement</w:t>
      </w:r>
      <w:r w:rsidR="0028280B">
        <w:t>s</w:t>
      </w:r>
      <w:r>
        <w:t>, if the natural gas processed remains under the ownership of the toller, the quantity of natural gas processed by the member company should not be accounted in the quantity of marketed natural gas; the associated methane emissions should be accounted as under the operational control of the member company</w:t>
      </w:r>
      <w:r>
        <w:rPr>
          <w:rFonts w:ascii="Arial" w:hAnsi="Arial" w:cs="Arial"/>
          <w:color w:val="000000"/>
          <w:shd w:val="clear" w:color="auto" w:fill="FFFFFF"/>
        </w:rPr>
        <w:t>.</w:t>
      </w:r>
    </w:p>
    <w:p w14:paraId="6A936A5A" w14:textId="232C2693" w:rsidR="00B5203F" w:rsidRDefault="00D671B7" w:rsidP="007074E5">
      <w:r>
        <w:t xml:space="preserve">As </w:t>
      </w:r>
      <w:r w:rsidR="001A58A3">
        <w:t>explained above</w:t>
      </w:r>
      <w:r w:rsidR="00B5203F">
        <w:t xml:space="preserve">, gas liquefaction </w:t>
      </w:r>
      <w:r>
        <w:t>processes are not included in</w:t>
      </w:r>
      <w:r w:rsidR="00B5203F">
        <w:t xml:space="preserve"> OGCI’s “upstream” scope concept. Refining, shipping, </w:t>
      </w:r>
      <w:proofErr w:type="gramStart"/>
      <w:r w:rsidR="00B5203F">
        <w:t>transmission</w:t>
      </w:r>
      <w:proofErr w:type="gramEnd"/>
      <w:r w:rsidR="00B5203F">
        <w:t xml:space="preserve"> and distribution activities, considered as “downstream” activities, are </w:t>
      </w:r>
      <w:r>
        <w:t xml:space="preserve">also </w:t>
      </w:r>
      <w:r w:rsidR="00B5203F">
        <w:t>excluded from the OGCI “upstream” scope.</w:t>
      </w:r>
    </w:p>
    <w:p w14:paraId="3463F95B" w14:textId="1D8907D5" w:rsidR="00B5203F" w:rsidRDefault="00B5203F" w:rsidP="007074E5">
      <w:r>
        <w:rPr>
          <w:rFonts w:ascii="Calibri" w:eastAsia="Calibri" w:hAnsi="Calibri" w:cs="Times New Roman"/>
          <w:iCs/>
          <w:noProof/>
          <w:lang w:eastAsia="it-IT"/>
        </w:rPr>
        <w:t xml:space="preserve">If and where applicable, </w:t>
      </w:r>
      <w:r w:rsidR="008C3BB5">
        <w:t>S</w:t>
      </w:r>
      <w:r>
        <w:t>cope 1 emissions (CO</w:t>
      </w:r>
      <w:r w:rsidRPr="00BC0CCB">
        <w:rPr>
          <w:vertAlign w:val="subscript"/>
        </w:rPr>
        <w:t>2</w:t>
      </w:r>
      <w:r>
        <w:t xml:space="preserve"> and CH</w:t>
      </w:r>
      <w:r w:rsidRPr="00BC0CCB">
        <w:rPr>
          <w:vertAlign w:val="subscript"/>
        </w:rPr>
        <w:t>4</w:t>
      </w:r>
      <w:r>
        <w:t>) will be corrected for any export of excess electricity and/or steam production. CO</w:t>
      </w:r>
      <w:r w:rsidRPr="00552AF8">
        <w:rPr>
          <w:vertAlign w:val="subscript"/>
        </w:rPr>
        <w:t>2</w:t>
      </w:r>
      <w:r>
        <w:t xml:space="preserve"> and/or CH</w:t>
      </w:r>
      <w:r w:rsidRPr="00552AF8">
        <w:rPr>
          <w:vertAlign w:val="subscript"/>
        </w:rPr>
        <w:t>4</w:t>
      </w:r>
      <w:r>
        <w:t xml:space="preserve"> reinjected in the production well (for EOR purposes) are considered as not being emitted and are therefore not accounted for in the emission figures.</w:t>
      </w:r>
      <w:r w:rsidRPr="005D357F">
        <w:t xml:space="preserve"> </w:t>
      </w:r>
      <w:r>
        <w:t xml:space="preserve">For </w:t>
      </w:r>
      <w:r w:rsidR="008C3BB5">
        <w:t>S</w:t>
      </w:r>
      <w:r>
        <w:t>cope 2, emissions are estimated based on national or contract-specific emission factors. Methane emissions will be reported in kg CO</w:t>
      </w:r>
      <w:r w:rsidRPr="00753435">
        <w:rPr>
          <w:vertAlign w:val="subscript"/>
        </w:rPr>
        <w:t>2eq</w:t>
      </w:r>
      <w:r>
        <w:t xml:space="preserve"> by using the methane Global Warming Potential of 25 over 100 years (IPCC</w:t>
      </w:r>
      <w:r w:rsidR="003B5437">
        <w:t xml:space="preserve"> AR4</w:t>
      </w:r>
      <w:r>
        <w:t>).</w:t>
      </w:r>
    </w:p>
    <w:p w14:paraId="7A61D8CB" w14:textId="0CF69AFD" w:rsidR="00B5203F" w:rsidRDefault="00B5203F" w:rsidP="007074E5">
      <w:r>
        <w:t xml:space="preserve">An intensity calculation, as opposed to an absolute calculation, has been chosen as it remains relevant even if there are changes to the OGCI asset make-up. Specifically, due to the nature of the upstream oil and gas business, it </w:t>
      </w:r>
      <w:r w:rsidR="00417DAD">
        <w:t>should</w:t>
      </w:r>
      <w:r>
        <w:t xml:space="preserve"> be expected that some of the assets (and corresponding greenhouse gas emissions and hydrocarbon production) within the boundaries for inclusion for the 2017 baseline, will not be relevant in the time horizon of 2025. This may, for example be due to decommissioning or divestment in the 2018-2025 period. Similarly, new assets may enter the scope for the target over the </w:t>
      </w:r>
      <w:r>
        <w:lastRenderedPageBreak/>
        <w:t xml:space="preserve">same period, </w:t>
      </w:r>
      <w:proofErr w:type="gramStart"/>
      <w:r>
        <w:t>as a result of</w:t>
      </w:r>
      <w:proofErr w:type="gramEnd"/>
      <w:r>
        <w:t xml:space="preserve"> start-ups and/or acquisitions. At the same time, the make-up of the OGCI may also change: some additional companies may join</w:t>
      </w:r>
      <w:r w:rsidDel="0025541E">
        <w:t xml:space="preserve"> </w:t>
      </w:r>
      <w:r>
        <w:t>the initiative while others may leave.</w:t>
      </w:r>
    </w:p>
    <w:p w14:paraId="16C6E18E" w14:textId="63831E2F" w:rsidR="00B5203F" w:rsidRDefault="00B5203F" w:rsidP="007074E5">
      <w:r>
        <w:t>The utilization of an intensity-based calculation, rather than an absolute, helps to mitigate the possibility that variations in OGCI members’ asset portfolios and/or amongst the OGCI membership will have a material impact on the ability of OGCI, collectively, to reach the 2025 target. Nonetheless, these changes could lead to material increases or reductions in the collective upstream carbon intensity for OGCI. To monitor this, carbon intensity will be calculated and tracked annually towards the 2025 target year, based upon the assets included within the scope in the given year.</w:t>
      </w:r>
    </w:p>
    <w:p w14:paraId="66C7B729" w14:textId="3829D2B5" w:rsidR="00B5203F" w:rsidRDefault="00824322" w:rsidP="007074E5">
      <w:r>
        <w:t>Finally</w:t>
      </w:r>
      <w:r w:rsidR="00B5203F">
        <w:t>, an intensity-based calculation allows OGCI to positively influence the carbon performance of industry at large, as the carbon intensity metric allows for easy benchmarking by others.</w:t>
      </w:r>
    </w:p>
    <w:p w14:paraId="16CA910A" w14:textId="5EF2838D" w:rsidR="00B5203F" w:rsidRDefault="00B5203F" w:rsidP="00B5203F">
      <w:pPr>
        <w:keepNext/>
        <w:jc w:val="center"/>
      </w:pPr>
    </w:p>
    <w:p w14:paraId="307E0C35" w14:textId="12F6D93E" w:rsidR="00E33093" w:rsidRDefault="00606CC0" w:rsidP="00B5203F">
      <w:pPr>
        <w:keepNext/>
        <w:jc w:val="center"/>
      </w:pPr>
      <w:r w:rsidRPr="00606CC0">
        <w:rPr>
          <w:noProof/>
        </w:rPr>
        <w:drawing>
          <wp:inline distT="0" distB="0" distL="0" distR="0" wp14:anchorId="39FF8B48" wp14:editId="27A47A01">
            <wp:extent cx="4680000" cy="2630977"/>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0" cy="2630977"/>
                    </a:xfrm>
                    <a:prstGeom prst="rect">
                      <a:avLst/>
                    </a:prstGeom>
                    <a:noFill/>
                    <a:ln>
                      <a:noFill/>
                    </a:ln>
                  </pic:spPr>
                </pic:pic>
              </a:graphicData>
            </a:graphic>
          </wp:inline>
        </w:drawing>
      </w:r>
    </w:p>
    <w:p w14:paraId="742AEABF" w14:textId="52100932" w:rsidR="00B5203F" w:rsidRPr="00B64738" w:rsidRDefault="00B5203F" w:rsidP="0029589C">
      <w:pPr>
        <w:pStyle w:val="Caption"/>
      </w:pPr>
      <w:r w:rsidRPr="0029589C">
        <w:t xml:space="preserve">Figure </w:t>
      </w:r>
      <w:r w:rsidRPr="00B64738">
        <w:fldChar w:fldCharType="begin"/>
      </w:r>
      <w:r w:rsidRPr="00B64738">
        <w:instrText xml:space="preserve"> SEQ Figure \* ARABIC </w:instrText>
      </w:r>
      <w:r w:rsidRPr="00B64738">
        <w:fldChar w:fldCharType="separate"/>
      </w:r>
      <w:r w:rsidR="00120F27">
        <w:rPr>
          <w:noProof/>
        </w:rPr>
        <w:t>3</w:t>
      </w:r>
      <w:r w:rsidRPr="00B64738">
        <w:fldChar w:fldCharType="end"/>
      </w:r>
      <w:r w:rsidRPr="0029589C">
        <w:t>: Boundaries of the carbon intensity target (illustration)</w:t>
      </w:r>
    </w:p>
    <w:p w14:paraId="1EE5EB56" w14:textId="23639743" w:rsidR="00B5203F" w:rsidRDefault="00B5203F" w:rsidP="00B5203F">
      <w:pPr>
        <w:pStyle w:val="Heading2"/>
      </w:pPr>
      <w:r w:rsidRPr="00926367">
        <w:t>Methodology for establishing the baseline intensit</w:t>
      </w:r>
      <w:r w:rsidR="008F71C2">
        <w:t>y</w:t>
      </w:r>
    </w:p>
    <w:p w14:paraId="7581F8F0" w14:textId="485A489B" w:rsidR="00B5203F" w:rsidRDefault="00B5203F" w:rsidP="000D3B00">
      <w:r>
        <w:t xml:space="preserve">To support the establishment the OGCI upstream carbon intensity baseline in 2017 and target for 2025, emissions and oil and gas volumes for 2017 were collected for each company and a 2017 baseline was established for each company, as well as for OGCI collectively. </w:t>
      </w:r>
    </w:p>
    <w:p w14:paraId="7D631BB6" w14:textId="77777777" w:rsidR="00B5203F" w:rsidRDefault="00B5203F" w:rsidP="000D3B00">
      <w:pPr>
        <w:pStyle w:val="Heading2"/>
      </w:pPr>
      <w:r>
        <w:t>Restatement of the baseline and reporting changes</w:t>
      </w:r>
    </w:p>
    <w:p w14:paraId="5E2B20C8" w14:textId="1CB69C94" w:rsidR="00B5203F" w:rsidRDefault="00B5203F" w:rsidP="000D3B00">
      <w:r>
        <w:t xml:space="preserve">If new companies join or leave the OGCI, the baseline may need to be re-estimated and revised </w:t>
      </w:r>
      <w:proofErr w:type="gramStart"/>
      <w:r>
        <w:t>as a result of</w:t>
      </w:r>
      <w:proofErr w:type="gramEnd"/>
      <w:r>
        <w:t xml:space="preserve"> these changes. However, the target itself will not be restated as new member companies will be expected to endorse the existing target. When individual companies’ emission quantification methodologies are updated (</w:t>
      </w:r>
      <w:proofErr w:type="gramStart"/>
      <w:r>
        <w:t>e.g.</w:t>
      </w:r>
      <w:proofErr w:type="gramEnd"/>
      <w:r>
        <w:t xml:space="preserve"> because of new regulatory emission factors, improvement of reporting processes, etc.), the emissions quantified using these updated methodologies shall also be used in connection with the OGCI intensity target tracking. Significant changes in the reported upstream carbon intensity performance linked to the update of reporting methodologies for one or multiple companies will be commented on in the annual OGCI report.</w:t>
      </w:r>
    </w:p>
    <w:p w14:paraId="379588AD" w14:textId="77777777" w:rsidR="00B5203F" w:rsidRDefault="00B5203F" w:rsidP="00B5203F">
      <w:pPr>
        <w:pStyle w:val="Heading2"/>
      </w:pPr>
      <w:r>
        <w:t>Assessment of data quality and accuracy</w:t>
      </w:r>
    </w:p>
    <w:p w14:paraId="7EA91D86" w14:textId="77777777" w:rsidR="00B5203F" w:rsidRDefault="00B5203F" w:rsidP="000D3B00">
      <w:proofErr w:type="gramStart"/>
      <w:r>
        <w:t>In order to</w:t>
      </w:r>
      <w:proofErr w:type="gramEnd"/>
      <w:r>
        <w:t xml:space="preserve"> conduct the work in compliance with the antitrust law, an independent third party is in charge of collecting, reviewing and anonymizing the data for aggregation. More specifically, the independent third party carried out the following tasks</w:t>
      </w:r>
    </w:p>
    <w:p w14:paraId="38DEA53A" w14:textId="77777777" w:rsidR="00B5203F" w:rsidRDefault="00B5203F" w:rsidP="0035559C">
      <w:pPr>
        <w:pStyle w:val="ListParagraph"/>
        <w:numPr>
          <w:ilvl w:val="0"/>
          <w:numId w:val="16"/>
        </w:numPr>
      </w:pPr>
      <w:r>
        <w:t xml:space="preserve">Assessment of the appropriate implementation of the OGCI Reporting Framework to the company data, including the subsequent Methodological note </w:t>
      </w:r>
      <w:r w:rsidRPr="002147D9">
        <w:t xml:space="preserve">for OGCI </w:t>
      </w:r>
      <w:r>
        <w:t>upstream carbon</w:t>
      </w:r>
      <w:r w:rsidRPr="002147D9">
        <w:t xml:space="preserve"> intensity target</w:t>
      </w:r>
      <w:r>
        <w:t xml:space="preserve"> </w:t>
      </w:r>
    </w:p>
    <w:p w14:paraId="50756C2C" w14:textId="77777777" w:rsidR="00B5203F" w:rsidRDefault="00B5203F" w:rsidP="0035559C">
      <w:pPr>
        <w:pStyle w:val="ListParagraph"/>
        <w:numPr>
          <w:ilvl w:val="0"/>
          <w:numId w:val="16"/>
        </w:numPr>
      </w:pPr>
      <w:r>
        <w:t>Analysis and investigation of indicators value change in the years 2015, 2016 and 2018 (insofar as available) compared to the baseline year 2017</w:t>
      </w:r>
    </w:p>
    <w:p w14:paraId="43C3C67A" w14:textId="77777777" w:rsidR="00B5203F" w:rsidRDefault="00B5203F" w:rsidP="0035559C">
      <w:pPr>
        <w:pStyle w:val="ListParagraph"/>
        <w:numPr>
          <w:ilvl w:val="0"/>
          <w:numId w:val="16"/>
        </w:numPr>
      </w:pPr>
      <w:r>
        <w:t>Calculation of consistency ratios to identify potential outliers</w:t>
      </w:r>
    </w:p>
    <w:p w14:paraId="48A1FEC7" w14:textId="77777777" w:rsidR="00B5203F" w:rsidRDefault="00B5203F" w:rsidP="0035559C">
      <w:pPr>
        <w:pStyle w:val="ListParagraph"/>
        <w:numPr>
          <w:ilvl w:val="0"/>
          <w:numId w:val="16"/>
        </w:numPr>
      </w:pPr>
      <w:r>
        <w:t>Reconciliation between indicators reported to the OGCI and indicators verified by a third-party.</w:t>
      </w:r>
    </w:p>
    <w:p w14:paraId="09B7E493" w14:textId="77777777" w:rsidR="00B5203F" w:rsidRDefault="00B5203F" w:rsidP="0035559C">
      <w:pPr>
        <w:pStyle w:val="ListParagraph"/>
        <w:numPr>
          <w:ilvl w:val="0"/>
          <w:numId w:val="16"/>
        </w:numPr>
      </w:pPr>
      <w:r>
        <w:t>Anonymization of companies’ individual indicators</w:t>
      </w:r>
    </w:p>
    <w:p w14:paraId="6EC88B6E" w14:textId="77777777" w:rsidR="00B5203F" w:rsidRPr="00DE2478" w:rsidRDefault="00B5203F" w:rsidP="00B64738">
      <w:r w:rsidRPr="00DE2478">
        <w:lastRenderedPageBreak/>
        <w:t xml:space="preserve">These aspects are addressed through bilateral interviews between the independent third party and the member companies of OGCI. </w:t>
      </w:r>
    </w:p>
    <w:p w14:paraId="1E99E55D" w14:textId="4CABFB9A" w:rsidR="00B5203F" w:rsidRPr="00DE2478" w:rsidRDefault="00B5203F" w:rsidP="00B64738">
      <w:r w:rsidRPr="00DE2478">
        <w:t>The independent third party also carr</w:t>
      </w:r>
      <w:r w:rsidR="00D2141B">
        <w:t>ies</w:t>
      </w:r>
      <w:r w:rsidRPr="00DE2478">
        <w:t xml:space="preserve"> out the following work of the OGCI consolidation process related to the correct consolidation and reporting of the KPIs and intensity indicators: </w:t>
      </w:r>
    </w:p>
    <w:p w14:paraId="1100D191" w14:textId="77777777" w:rsidR="00B5203F" w:rsidRPr="00DE2478" w:rsidRDefault="00B5203F" w:rsidP="0035559C">
      <w:pPr>
        <w:pStyle w:val="ListParagraph"/>
        <w:numPr>
          <w:ilvl w:val="0"/>
          <w:numId w:val="17"/>
        </w:numPr>
      </w:pPr>
      <w:r w:rsidRPr="00DE2478">
        <w:t xml:space="preserve">Consistency check of the conversion factors and formulas used to calculate those indicators with the OGCI Reporting Framework </w:t>
      </w:r>
    </w:p>
    <w:p w14:paraId="677464AA" w14:textId="77777777" w:rsidR="00B5203F" w:rsidRDefault="00B5203F" w:rsidP="00B5203F">
      <w:pPr>
        <w:pStyle w:val="Heading2"/>
      </w:pPr>
      <w:r>
        <w:t>Data limitations</w:t>
      </w:r>
    </w:p>
    <w:p w14:paraId="7746C86A" w14:textId="77777777" w:rsidR="00B5203F" w:rsidRDefault="00B5203F" w:rsidP="000D3B00">
      <w:r>
        <w:t>The specific limitations applicable to methane and identified in the “</w:t>
      </w:r>
      <w:r w:rsidRPr="002147D9">
        <w:t>Methodological note for OGCI methane intensity target and ambition</w:t>
      </w:r>
      <w:r>
        <w:t xml:space="preserve">” apply to the upstream carbon intensity, as methane is considered as a component of the upstream carbon intensity.  </w:t>
      </w:r>
    </w:p>
    <w:p w14:paraId="7183719B" w14:textId="77777777" w:rsidR="00B5203F" w:rsidRDefault="00B5203F" w:rsidP="000D3B00">
      <w:r>
        <w:t xml:space="preserve">All OGCI companies have internal routines for the gathering, quantification and reporting of emissions data, though the data coverage and granularity may vary from company to company. The OGCI member companies have, for the purpose of setting the baseline and target, agreed on the scope and boundaries for which the data shall apply. As part of this process, the OGCI companies have had to evaluate their own operations to determine if any gaps in data coverage and quality exist and then take steps to include all relevant sources and figures in the data supplied to the OGCI as part of the upstream carbon intensity, </w:t>
      </w:r>
      <w:proofErr w:type="gramStart"/>
      <w:r>
        <w:t>baseline</w:t>
      </w:r>
      <w:proofErr w:type="gramEnd"/>
      <w:r>
        <w:t xml:space="preserve"> and target establishment work. Similarly, companies have had to evaluate the applicability of quantification methods utilized for their own operations and update their methodologies as required.  </w:t>
      </w:r>
    </w:p>
    <w:p w14:paraId="5AAA451D" w14:textId="77777777" w:rsidR="00B5203F" w:rsidRDefault="00B5203F" w:rsidP="000D3B00">
      <w:r>
        <w:t xml:space="preserve">For the OGCI to collectively increase confidence in the data used as the basis for the establishment of an upstream carbon intensity baseline and target, all companies participated in follow-up interviews with the independent third party in charge of collecting, </w:t>
      </w:r>
      <w:proofErr w:type="gramStart"/>
      <w:r>
        <w:t>verifying</w:t>
      </w:r>
      <w:proofErr w:type="gramEnd"/>
      <w:r>
        <w:t xml:space="preserve"> and anonymizing the data for aggregation.</w:t>
      </w:r>
    </w:p>
    <w:p w14:paraId="40A7D8B6" w14:textId="7319D370" w:rsidR="002E1220" w:rsidRDefault="002E1220" w:rsidP="00B64738">
      <w:pPr>
        <w:pStyle w:val="Heading2"/>
      </w:pPr>
      <w:r>
        <w:t xml:space="preserve">Estimation of the </w:t>
      </w:r>
      <w:r w:rsidR="00B2375B">
        <w:t>i</w:t>
      </w:r>
      <w:r>
        <w:t xml:space="preserve">ndustry </w:t>
      </w:r>
      <w:r w:rsidR="00B2375B">
        <w:t>intensity</w:t>
      </w:r>
    </w:p>
    <w:p w14:paraId="47BBA0F6" w14:textId="03ABE78A" w:rsidR="00885FB7" w:rsidRDefault="00885FB7" w:rsidP="00885FB7">
      <w:r w:rsidRPr="006806B4">
        <w:t xml:space="preserve">Estimates based on IEA and IPCC data lead to a carbon intensity average for the industry of approximately 49 kgCO2e/boe for oil and </w:t>
      </w:r>
      <w:r w:rsidR="00460436">
        <w:t>58</w:t>
      </w:r>
      <w:r w:rsidRPr="006806B4">
        <w:t xml:space="preserve"> kgCO2e</w:t>
      </w:r>
      <w:r w:rsidR="000168EB">
        <w:t>/boe</w:t>
      </w:r>
      <w:r w:rsidRPr="006806B4">
        <w:t xml:space="preserve"> for gas</w:t>
      </w:r>
      <w:r w:rsidR="00DD3994">
        <w:t xml:space="preserve"> (excluding LNG)</w:t>
      </w:r>
      <w:r w:rsidRPr="006806B4">
        <w:t xml:space="preserve">. The average industry carbon intensity has been estimated for a similar perimeter as the one used by OGCI, based on global energy-related carbon dioxide emissions and total primary energy demand, using data from the International Energy Agency's World Energy Outlook 2018 (tables 1.2, 1.5, page 486 and page 489), as well as the Representative Concentration Pathway Database RCP2.6 from the Intergovernmental Panel on Climate Change (IPCC). It considers a Global Warming Potential of methane over a 100-year time horizon. </w:t>
      </w:r>
    </w:p>
    <w:p w14:paraId="0FF1D557" w14:textId="075DAEFB" w:rsidR="00885FB7" w:rsidRDefault="00885FB7" w:rsidP="000D3B00">
      <w:r w:rsidRPr="006806B4">
        <w:t>This estimation, based on top-down assessments, is comparable with other scientific papers, such as “Global carbon intensity of crude oil production” published by Stanford in August 2018 (</w:t>
      </w:r>
      <w:hyperlink r:id="rId14" w:history="1">
        <w:r w:rsidRPr="006806B4">
          <w:t>https://science.sciencemag.org/content/361/6405/851</w:t>
        </w:r>
      </w:hyperlink>
      <w:r w:rsidRPr="006806B4">
        <w:t>).</w:t>
      </w:r>
    </w:p>
    <w:p w14:paraId="7567E7B8" w14:textId="118C530F" w:rsidR="000D3580" w:rsidRDefault="00B2375B" w:rsidP="000D3B00">
      <w:r>
        <w:t xml:space="preserve">Details of the methodology used by OGCI to calculate the carbon intensities of approximately 49 kgCO2e/boe for oil and </w:t>
      </w:r>
      <w:r w:rsidR="00065C2F">
        <w:t>58</w:t>
      </w:r>
      <w:r>
        <w:t xml:space="preserve"> kgCO2e</w:t>
      </w:r>
      <w:r w:rsidR="00DD3994">
        <w:t>/boe</w:t>
      </w:r>
      <w:r>
        <w:t xml:space="preserve"> for gas are as presented in the </w:t>
      </w:r>
      <w:r w:rsidR="000D3580">
        <w:t xml:space="preserve">following </w:t>
      </w:r>
      <w:r>
        <w:t>table</w:t>
      </w:r>
      <w:r w:rsidR="000D3580">
        <w:t>.</w:t>
      </w:r>
    </w:p>
    <w:p w14:paraId="0153EF46" w14:textId="77777777" w:rsidR="000D3580" w:rsidRDefault="000D3580">
      <w:pPr>
        <w:spacing w:after="0" w:line="276" w:lineRule="auto"/>
        <w:jc w:val="left"/>
      </w:pPr>
      <w:r>
        <w:br w:type="page"/>
      </w:r>
    </w:p>
    <w:tbl>
      <w:tblPr>
        <w:tblW w:w="10318" w:type="dxa"/>
        <w:jc w:val="center"/>
        <w:tblCellMar>
          <w:left w:w="0" w:type="dxa"/>
          <w:right w:w="0" w:type="dxa"/>
        </w:tblCellMar>
        <w:tblLook w:val="04A0" w:firstRow="1" w:lastRow="0" w:firstColumn="1" w:lastColumn="0" w:noHBand="0" w:noVBand="1"/>
      </w:tblPr>
      <w:tblGrid>
        <w:gridCol w:w="2778"/>
        <w:gridCol w:w="794"/>
        <w:gridCol w:w="907"/>
        <w:gridCol w:w="1417"/>
        <w:gridCol w:w="4422"/>
      </w:tblGrid>
      <w:tr w:rsidR="000D3B00" w14:paraId="69DE09FB" w14:textId="77777777" w:rsidTr="00B64738">
        <w:trPr>
          <w:trHeight w:val="300"/>
          <w:jc w:val="center"/>
        </w:trPr>
        <w:tc>
          <w:tcPr>
            <w:tcW w:w="10318" w:type="dxa"/>
            <w:gridSpan w:val="5"/>
            <w:tcBorders>
              <w:top w:val="single" w:sz="4" w:space="0" w:color="auto"/>
              <w:left w:val="single" w:sz="4" w:space="0" w:color="auto"/>
              <w:bottom w:val="single" w:sz="8" w:space="0" w:color="8EAADB"/>
              <w:right w:val="single" w:sz="4" w:space="0" w:color="auto"/>
            </w:tcBorders>
            <w:shd w:val="clear" w:color="auto" w:fill="D9E2F3"/>
            <w:noWrap/>
            <w:tcMar>
              <w:top w:w="0" w:type="dxa"/>
              <w:left w:w="108" w:type="dxa"/>
              <w:bottom w:w="0" w:type="dxa"/>
              <w:right w:w="108" w:type="dxa"/>
            </w:tcMar>
          </w:tcPr>
          <w:p w14:paraId="378D346C" w14:textId="77777777" w:rsidR="000D3B00" w:rsidRPr="0074692A" w:rsidRDefault="000D3B00" w:rsidP="0036767A">
            <w:pPr>
              <w:rPr>
                <w:b/>
                <w:bCs/>
              </w:rPr>
            </w:pPr>
            <w:r w:rsidRPr="0074692A">
              <w:rPr>
                <w:b/>
                <w:bCs/>
              </w:rPr>
              <w:lastRenderedPageBreak/>
              <w:t>ESTIMATION OF OIL&amp;GAS SECTOR SCOPE 1+2 INTENSITIES</w:t>
            </w:r>
          </w:p>
        </w:tc>
      </w:tr>
      <w:tr w:rsidR="000D3B00" w14:paraId="5E9C4B6B" w14:textId="77777777" w:rsidTr="00B64738">
        <w:trPr>
          <w:trHeight w:val="300"/>
          <w:jc w:val="center"/>
        </w:trPr>
        <w:tc>
          <w:tcPr>
            <w:tcW w:w="2778" w:type="dxa"/>
            <w:tcBorders>
              <w:top w:val="nil"/>
              <w:left w:val="single" w:sz="4" w:space="0" w:color="auto"/>
              <w:bottom w:val="single" w:sz="8" w:space="0" w:color="8EAADB"/>
              <w:right w:val="single" w:sz="8" w:space="0" w:color="8EAADB"/>
            </w:tcBorders>
            <w:shd w:val="clear" w:color="auto" w:fill="D9E2F3"/>
            <w:noWrap/>
            <w:tcMar>
              <w:top w:w="0" w:type="dxa"/>
              <w:left w:w="108" w:type="dxa"/>
              <w:bottom w:w="0" w:type="dxa"/>
              <w:right w:w="108" w:type="dxa"/>
            </w:tcMar>
            <w:hideMark/>
          </w:tcPr>
          <w:p w14:paraId="0631DE45" w14:textId="77777777" w:rsidR="000D3B00" w:rsidRDefault="000D3B00" w:rsidP="0036767A">
            <w:pPr>
              <w:rPr>
                <w:b/>
                <w:bCs/>
              </w:rPr>
            </w:pPr>
            <w:r>
              <w:rPr>
                <w:b/>
                <w:bCs/>
                <w:color w:val="000000"/>
              </w:rPr>
              <w:t>2017</w:t>
            </w:r>
          </w:p>
        </w:tc>
        <w:tc>
          <w:tcPr>
            <w:tcW w:w="794" w:type="dxa"/>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hideMark/>
          </w:tcPr>
          <w:p w14:paraId="4228A8C0" w14:textId="77777777" w:rsidR="000D3B00" w:rsidRDefault="000D3B00" w:rsidP="0036767A">
            <w:pPr>
              <w:jc w:val="center"/>
              <w:rPr>
                <w:b/>
                <w:bCs/>
              </w:rPr>
            </w:pPr>
            <w:r>
              <w:rPr>
                <w:b/>
                <w:bCs/>
                <w:color w:val="000000"/>
              </w:rPr>
              <w:t>OIL</w:t>
            </w:r>
          </w:p>
        </w:tc>
        <w:tc>
          <w:tcPr>
            <w:tcW w:w="907" w:type="dxa"/>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hideMark/>
          </w:tcPr>
          <w:p w14:paraId="2CDEA39F" w14:textId="77777777" w:rsidR="000D3B00" w:rsidRDefault="000D3B00" w:rsidP="0036767A">
            <w:pPr>
              <w:jc w:val="center"/>
              <w:rPr>
                <w:b/>
                <w:bCs/>
              </w:rPr>
            </w:pPr>
            <w:r>
              <w:rPr>
                <w:b/>
                <w:bCs/>
                <w:color w:val="000000"/>
              </w:rPr>
              <w:t>GAS</w:t>
            </w:r>
          </w:p>
        </w:tc>
        <w:tc>
          <w:tcPr>
            <w:tcW w:w="1417" w:type="dxa"/>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hideMark/>
          </w:tcPr>
          <w:p w14:paraId="7437C461" w14:textId="0DEF8620" w:rsidR="000D3B00" w:rsidRDefault="0010451C" w:rsidP="0036767A">
            <w:pPr>
              <w:rPr>
                <w:b/>
                <w:bCs/>
              </w:rPr>
            </w:pPr>
            <w:r>
              <w:rPr>
                <w:b/>
                <w:bCs/>
                <w:color w:val="000000"/>
              </w:rPr>
              <w:t>U</w:t>
            </w:r>
            <w:r w:rsidR="000D3B00">
              <w:rPr>
                <w:b/>
                <w:bCs/>
                <w:color w:val="000000"/>
              </w:rPr>
              <w:t>nit</w:t>
            </w:r>
          </w:p>
        </w:tc>
        <w:tc>
          <w:tcPr>
            <w:tcW w:w="4422" w:type="dxa"/>
            <w:tcBorders>
              <w:top w:val="nil"/>
              <w:left w:val="nil"/>
              <w:bottom w:val="single" w:sz="8" w:space="0" w:color="8EAADB"/>
              <w:right w:val="single" w:sz="4" w:space="0" w:color="auto"/>
            </w:tcBorders>
            <w:shd w:val="clear" w:color="auto" w:fill="D9E2F3"/>
            <w:noWrap/>
            <w:tcMar>
              <w:top w:w="0" w:type="dxa"/>
              <w:left w:w="108" w:type="dxa"/>
              <w:bottom w:w="0" w:type="dxa"/>
              <w:right w:w="108" w:type="dxa"/>
            </w:tcMar>
            <w:hideMark/>
          </w:tcPr>
          <w:p w14:paraId="1A75B13B" w14:textId="77777777" w:rsidR="000D3B00" w:rsidRDefault="000D3B00" w:rsidP="0036767A">
            <w:pPr>
              <w:rPr>
                <w:b/>
                <w:bCs/>
              </w:rPr>
            </w:pPr>
            <w:r>
              <w:rPr>
                <w:b/>
                <w:bCs/>
                <w:color w:val="000000"/>
              </w:rPr>
              <w:t>comment/source</w:t>
            </w:r>
          </w:p>
        </w:tc>
      </w:tr>
      <w:tr w:rsidR="000D3B00" w14:paraId="0EBEBB5D" w14:textId="77777777" w:rsidTr="00B64738">
        <w:trPr>
          <w:trHeight w:val="300"/>
          <w:jc w:val="center"/>
        </w:trPr>
        <w:tc>
          <w:tcPr>
            <w:tcW w:w="2778" w:type="dxa"/>
            <w:tcBorders>
              <w:top w:val="nil"/>
              <w:left w:val="single" w:sz="4" w:space="0" w:color="auto"/>
              <w:bottom w:val="single" w:sz="8" w:space="0" w:color="8EAADB"/>
              <w:right w:val="single" w:sz="8" w:space="0" w:color="8EAADB"/>
            </w:tcBorders>
            <w:noWrap/>
            <w:tcMar>
              <w:top w:w="0" w:type="dxa"/>
              <w:left w:w="108" w:type="dxa"/>
              <w:bottom w:w="0" w:type="dxa"/>
              <w:right w:w="108" w:type="dxa"/>
            </w:tcMar>
            <w:vAlign w:val="center"/>
            <w:hideMark/>
          </w:tcPr>
          <w:p w14:paraId="2D0625C2" w14:textId="77777777" w:rsidR="000D3B00" w:rsidRDefault="000D3B00" w:rsidP="00B64738">
            <w:pPr>
              <w:spacing w:after="0"/>
              <w:jc w:val="left"/>
              <w:rPr>
                <w:b/>
                <w:bCs/>
              </w:rPr>
            </w:pPr>
            <w:r>
              <w:rPr>
                <w:b/>
                <w:bCs/>
              </w:rPr>
              <w:t>Total e</w:t>
            </w:r>
            <w:r>
              <w:rPr>
                <w:b/>
                <w:bCs/>
                <w:color w:val="000000"/>
              </w:rPr>
              <w:t xml:space="preserve">stimated CO2 emissions (production, </w:t>
            </w:r>
            <w:proofErr w:type="gramStart"/>
            <w:r>
              <w:rPr>
                <w:b/>
                <w:bCs/>
                <w:color w:val="000000"/>
              </w:rPr>
              <w:t>processing</w:t>
            </w:r>
            <w:proofErr w:type="gramEnd"/>
            <w:r>
              <w:rPr>
                <w:b/>
                <w:bCs/>
                <w:color w:val="000000"/>
              </w:rPr>
              <w:t xml:space="preserve"> and end use)</w:t>
            </w:r>
          </w:p>
        </w:tc>
        <w:tc>
          <w:tcPr>
            <w:tcW w:w="794" w:type="dxa"/>
            <w:tcBorders>
              <w:top w:val="nil"/>
              <w:left w:val="nil"/>
              <w:bottom w:val="single" w:sz="8" w:space="0" w:color="8EAADB"/>
              <w:right w:val="single" w:sz="8" w:space="0" w:color="8EAADB"/>
            </w:tcBorders>
            <w:noWrap/>
            <w:tcMar>
              <w:top w:w="0" w:type="dxa"/>
              <w:left w:w="108" w:type="dxa"/>
              <w:bottom w:w="0" w:type="dxa"/>
              <w:right w:w="108" w:type="dxa"/>
            </w:tcMar>
            <w:vAlign w:val="center"/>
            <w:hideMark/>
          </w:tcPr>
          <w:p w14:paraId="5FE34DCE" w14:textId="77777777" w:rsidR="000D3B00" w:rsidRDefault="000D3B00" w:rsidP="00B64738">
            <w:pPr>
              <w:spacing w:after="0"/>
              <w:jc w:val="center"/>
            </w:pPr>
            <w:r>
              <w:rPr>
                <w:color w:val="000000"/>
              </w:rPr>
              <w:t>11,3</w:t>
            </w:r>
          </w:p>
        </w:tc>
        <w:tc>
          <w:tcPr>
            <w:tcW w:w="907" w:type="dxa"/>
            <w:tcBorders>
              <w:top w:val="nil"/>
              <w:left w:val="nil"/>
              <w:bottom w:val="single" w:sz="8" w:space="0" w:color="8EAADB"/>
              <w:right w:val="single" w:sz="8" w:space="0" w:color="8EAADB"/>
            </w:tcBorders>
            <w:noWrap/>
            <w:tcMar>
              <w:top w:w="0" w:type="dxa"/>
              <w:left w:w="108" w:type="dxa"/>
              <w:bottom w:w="0" w:type="dxa"/>
              <w:right w:w="108" w:type="dxa"/>
            </w:tcMar>
            <w:vAlign w:val="center"/>
            <w:hideMark/>
          </w:tcPr>
          <w:p w14:paraId="2E2CB8DF" w14:textId="4F5B265D" w:rsidR="000D3B00" w:rsidRDefault="000D3B00" w:rsidP="00B64738">
            <w:pPr>
              <w:spacing w:after="0"/>
              <w:jc w:val="center"/>
            </w:pPr>
            <w:r>
              <w:rPr>
                <w:color w:val="000000"/>
              </w:rPr>
              <w:t>6,</w:t>
            </w:r>
            <w:r w:rsidR="009E16E5">
              <w:rPr>
                <w:color w:val="000000"/>
              </w:rPr>
              <w:t>8</w:t>
            </w:r>
          </w:p>
        </w:tc>
        <w:tc>
          <w:tcPr>
            <w:tcW w:w="1417" w:type="dxa"/>
            <w:tcBorders>
              <w:top w:val="nil"/>
              <w:left w:val="nil"/>
              <w:bottom w:val="single" w:sz="8" w:space="0" w:color="8EAADB"/>
              <w:right w:val="single" w:sz="8" w:space="0" w:color="8EAADB"/>
            </w:tcBorders>
            <w:noWrap/>
            <w:tcMar>
              <w:top w:w="0" w:type="dxa"/>
              <w:left w:w="108" w:type="dxa"/>
              <w:bottom w:w="0" w:type="dxa"/>
              <w:right w:w="108" w:type="dxa"/>
            </w:tcMar>
            <w:vAlign w:val="center"/>
            <w:hideMark/>
          </w:tcPr>
          <w:p w14:paraId="04BCFF1C" w14:textId="77777777" w:rsidR="000D3B00" w:rsidRDefault="000D3B00" w:rsidP="00B64738">
            <w:pPr>
              <w:spacing w:after="0"/>
            </w:pPr>
            <w:r>
              <w:rPr>
                <w:color w:val="000000"/>
              </w:rPr>
              <w:t>Gt CO2eq</w:t>
            </w:r>
          </w:p>
        </w:tc>
        <w:tc>
          <w:tcPr>
            <w:tcW w:w="4422" w:type="dxa"/>
            <w:tcBorders>
              <w:top w:val="nil"/>
              <w:left w:val="nil"/>
              <w:bottom w:val="single" w:sz="8" w:space="0" w:color="8EAADB"/>
              <w:right w:val="single" w:sz="4" w:space="0" w:color="auto"/>
            </w:tcBorders>
            <w:noWrap/>
            <w:tcMar>
              <w:top w:w="0" w:type="dxa"/>
              <w:left w:w="108" w:type="dxa"/>
              <w:bottom w:w="0" w:type="dxa"/>
              <w:right w:w="108" w:type="dxa"/>
            </w:tcMar>
            <w:hideMark/>
          </w:tcPr>
          <w:p w14:paraId="61937C35" w14:textId="77777777" w:rsidR="000D3B00" w:rsidRDefault="000D3B00" w:rsidP="00B64738">
            <w:pPr>
              <w:spacing w:after="0"/>
              <w:jc w:val="left"/>
              <w:rPr>
                <w:color w:val="000000"/>
              </w:rPr>
            </w:pPr>
            <w:r>
              <w:rPr>
                <w:color w:val="000000"/>
              </w:rPr>
              <w:t>IEA’s 2018 World Energy Outlook (tables 1.5, p. 489)</w:t>
            </w:r>
          </w:p>
        </w:tc>
      </w:tr>
      <w:tr w:rsidR="000D3B00" w14:paraId="192FDED4" w14:textId="77777777" w:rsidTr="00B64738">
        <w:trPr>
          <w:trHeight w:val="300"/>
          <w:jc w:val="center"/>
        </w:trPr>
        <w:tc>
          <w:tcPr>
            <w:tcW w:w="2778" w:type="dxa"/>
            <w:tcBorders>
              <w:top w:val="nil"/>
              <w:left w:val="single" w:sz="4" w:space="0" w:color="auto"/>
              <w:bottom w:val="single" w:sz="8" w:space="0" w:color="8EAADB"/>
              <w:right w:val="single" w:sz="8" w:space="0" w:color="8EAADB"/>
            </w:tcBorders>
            <w:shd w:val="clear" w:color="auto" w:fill="D9E2F3"/>
            <w:noWrap/>
            <w:tcMar>
              <w:top w:w="0" w:type="dxa"/>
              <w:left w:w="108" w:type="dxa"/>
              <w:bottom w:w="0" w:type="dxa"/>
              <w:right w:w="108" w:type="dxa"/>
            </w:tcMar>
            <w:vAlign w:val="center"/>
            <w:hideMark/>
          </w:tcPr>
          <w:p w14:paraId="46269542" w14:textId="77777777" w:rsidR="000D3B00" w:rsidRDefault="000D3B00" w:rsidP="00B64738">
            <w:pPr>
              <w:spacing w:after="0"/>
              <w:jc w:val="left"/>
              <w:rPr>
                <w:b/>
                <w:bCs/>
              </w:rPr>
            </w:pPr>
            <w:r>
              <w:rPr>
                <w:b/>
                <w:bCs/>
                <w:color w:val="000000"/>
              </w:rPr>
              <w:t xml:space="preserve">Total CH4 emissions from sector (production, </w:t>
            </w:r>
            <w:proofErr w:type="gramStart"/>
            <w:r>
              <w:rPr>
                <w:b/>
                <w:bCs/>
                <w:color w:val="000000"/>
              </w:rPr>
              <w:t>processing</w:t>
            </w:r>
            <w:proofErr w:type="gramEnd"/>
            <w:r>
              <w:rPr>
                <w:b/>
                <w:bCs/>
                <w:color w:val="000000"/>
              </w:rPr>
              <w:t xml:space="preserve"> and end use)</w:t>
            </w:r>
          </w:p>
        </w:tc>
        <w:tc>
          <w:tcPr>
            <w:tcW w:w="794" w:type="dxa"/>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vAlign w:val="center"/>
            <w:hideMark/>
          </w:tcPr>
          <w:p w14:paraId="5138E0D7" w14:textId="77777777" w:rsidR="000D3B00" w:rsidRDefault="000D3B00" w:rsidP="00B64738">
            <w:pPr>
              <w:spacing w:after="0"/>
              <w:jc w:val="center"/>
            </w:pPr>
            <w:r>
              <w:rPr>
                <w:color w:val="000000"/>
              </w:rPr>
              <w:t>0,9</w:t>
            </w:r>
          </w:p>
        </w:tc>
        <w:tc>
          <w:tcPr>
            <w:tcW w:w="907" w:type="dxa"/>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vAlign w:val="center"/>
            <w:hideMark/>
          </w:tcPr>
          <w:p w14:paraId="0E16661C" w14:textId="76DB954C" w:rsidR="000D3B00" w:rsidRDefault="009244AE" w:rsidP="00B64738">
            <w:pPr>
              <w:spacing w:after="0"/>
              <w:jc w:val="center"/>
            </w:pPr>
            <w:r>
              <w:rPr>
                <w:color w:val="000000"/>
              </w:rPr>
              <w:t>1,1</w:t>
            </w:r>
          </w:p>
        </w:tc>
        <w:tc>
          <w:tcPr>
            <w:tcW w:w="1417" w:type="dxa"/>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vAlign w:val="center"/>
            <w:hideMark/>
          </w:tcPr>
          <w:p w14:paraId="0C57F706" w14:textId="77777777" w:rsidR="000D3B00" w:rsidRDefault="000D3B00" w:rsidP="00B64738">
            <w:pPr>
              <w:spacing w:after="0"/>
            </w:pPr>
            <w:r>
              <w:rPr>
                <w:color w:val="000000"/>
              </w:rPr>
              <w:t>Gt CO2eq</w:t>
            </w:r>
          </w:p>
        </w:tc>
        <w:tc>
          <w:tcPr>
            <w:tcW w:w="4422" w:type="dxa"/>
            <w:tcBorders>
              <w:top w:val="nil"/>
              <w:left w:val="nil"/>
              <w:bottom w:val="single" w:sz="8" w:space="0" w:color="8EAADB"/>
              <w:right w:val="single" w:sz="4" w:space="0" w:color="auto"/>
            </w:tcBorders>
            <w:shd w:val="clear" w:color="auto" w:fill="D9E2F3"/>
            <w:noWrap/>
            <w:tcMar>
              <w:top w:w="0" w:type="dxa"/>
              <w:left w:w="108" w:type="dxa"/>
              <w:bottom w:w="0" w:type="dxa"/>
              <w:right w:w="108" w:type="dxa"/>
            </w:tcMar>
            <w:hideMark/>
          </w:tcPr>
          <w:p w14:paraId="25AC5329" w14:textId="77777777" w:rsidR="000D3B00" w:rsidRDefault="000D3B00" w:rsidP="00B64738">
            <w:pPr>
              <w:spacing w:after="0"/>
              <w:jc w:val="left"/>
            </w:pPr>
            <w:r>
              <w:rPr>
                <w:color w:val="000000"/>
              </w:rPr>
              <w:t>Representative Concentration Pathway Database RCP2.6 from the Intergovernmental Panel on Climate Change (IPCC)</w:t>
            </w:r>
          </w:p>
          <w:p w14:paraId="5EFF054A" w14:textId="77777777" w:rsidR="000D3B00" w:rsidRDefault="000D3B00" w:rsidP="00B64738">
            <w:pPr>
              <w:spacing w:after="0"/>
              <w:jc w:val="left"/>
            </w:pPr>
            <w:r>
              <w:rPr>
                <w:color w:val="000000"/>
              </w:rPr>
              <w:t xml:space="preserve">© RCP Database (Version 2.0.5) </w:t>
            </w:r>
            <w:hyperlink r:id="rId15" w:history="1">
              <w:r>
                <w:rPr>
                  <w:rStyle w:val="Hyperlink"/>
                </w:rPr>
                <w:t>http://www.iiasa.ac.at/web-apps/tnt/RcpDb</w:t>
              </w:r>
            </w:hyperlink>
          </w:p>
        </w:tc>
      </w:tr>
      <w:tr w:rsidR="000D3B00" w14:paraId="306D677E" w14:textId="77777777" w:rsidTr="00B64738">
        <w:trPr>
          <w:trHeight w:val="300"/>
          <w:jc w:val="center"/>
        </w:trPr>
        <w:tc>
          <w:tcPr>
            <w:tcW w:w="2778" w:type="dxa"/>
            <w:tcBorders>
              <w:top w:val="nil"/>
              <w:left w:val="single" w:sz="4" w:space="0" w:color="auto"/>
              <w:bottom w:val="single" w:sz="8" w:space="0" w:color="8EAADB"/>
              <w:right w:val="single" w:sz="8" w:space="0" w:color="8EAADB"/>
            </w:tcBorders>
            <w:noWrap/>
            <w:tcMar>
              <w:top w:w="0" w:type="dxa"/>
              <w:left w:w="108" w:type="dxa"/>
              <w:bottom w:w="0" w:type="dxa"/>
              <w:right w:w="108" w:type="dxa"/>
            </w:tcMar>
            <w:vAlign w:val="center"/>
            <w:hideMark/>
          </w:tcPr>
          <w:p w14:paraId="5C843079" w14:textId="77777777" w:rsidR="000D3B00" w:rsidRDefault="000D3B00" w:rsidP="00B64738">
            <w:pPr>
              <w:spacing w:after="0"/>
              <w:jc w:val="left"/>
              <w:rPr>
                <w:b/>
                <w:bCs/>
              </w:rPr>
            </w:pPr>
            <w:r>
              <w:rPr>
                <w:b/>
                <w:bCs/>
                <w:color w:val="000000"/>
              </w:rPr>
              <w:t>Sub-total (CO2+CH4)</w:t>
            </w:r>
          </w:p>
        </w:tc>
        <w:tc>
          <w:tcPr>
            <w:tcW w:w="794" w:type="dxa"/>
            <w:tcBorders>
              <w:top w:val="nil"/>
              <w:left w:val="nil"/>
              <w:bottom w:val="single" w:sz="8" w:space="0" w:color="8EAADB"/>
              <w:right w:val="single" w:sz="8" w:space="0" w:color="8EAADB"/>
            </w:tcBorders>
            <w:noWrap/>
            <w:tcMar>
              <w:top w:w="0" w:type="dxa"/>
              <w:left w:w="108" w:type="dxa"/>
              <w:bottom w:w="0" w:type="dxa"/>
              <w:right w:w="108" w:type="dxa"/>
            </w:tcMar>
            <w:vAlign w:val="center"/>
            <w:hideMark/>
          </w:tcPr>
          <w:p w14:paraId="56447A68" w14:textId="77777777" w:rsidR="000D3B00" w:rsidRDefault="000D3B00" w:rsidP="00B64738">
            <w:pPr>
              <w:spacing w:after="0"/>
              <w:jc w:val="center"/>
            </w:pPr>
            <w:r>
              <w:rPr>
                <w:color w:val="000000"/>
              </w:rPr>
              <w:t>12,2</w:t>
            </w:r>
          </w:p>
        </w:tc>
        <w:tc>
          <w:tcPr>
            <w:tcW w:w="907" w:type="dxa"/>
            <w:tcBorders>
              <w:top w:val="nil"/>
              <w:left w:val="nil"/>
              <w:bottom w:val="single" w:sz="8" w:space="0" w:color="8EAADB"/>
              <w:right w:val="single" w:sz="8" w:space="0" w:color="8EAADB"/>
            </w:tcBorders>
            <w:noWrap/>
            <w:tcMar>
              <w:top w:w="0" w:type="dxa"/>
              <w:left w:w="108" w:type="dxa"/>
              <w:bottom w:w="0" w:type="dxa"/>
              <w:right w:w="108" w:type="dxa"/>
            </w:tcMar>
            <w:vAlign w:val="center"/>
            <w:hideMark/>
          </w:tcPr>
          <w:p w14:paraId="1C18C991" w14:textId="49915B4F" w:rsidR="000D3B00" w:rsidRDefault="009244AE" w:rsidP="00B64738">
            <w:pPr>
              <w:spacing w:after="0"/>
              <w:jc w:val="center"/>
            </w:pPr>
            <w:r>
              <w:rPr>
                <w:color w:val="000000"/>
              </w:rPr>
              <w:t>7,8</w:t>
            </w:r>
          </w:p>
        </w:tc>
        <w:tc>
          <w:tcPr>
            <w:tcW w:w="1417" w:type="dxa"/>
            <w:tcBorders>
              <w:top w:val="nil"/>
              <w:left w:val="nil"/>
              <w:bottom w:val="single" w:sz="8" w:space="0" w:color="8EAADB"/>
              <w:right w:val="single" w:sz="8" w:space="0" w:color="8EAADB"/>
            </w:tcBorders>
            <w:noWrap/>
            <w:tcMar>
              <w:top w:w="0" w:type="dxa"/>
              <w:left w:w="108" w:type="dxa"/>
              <w:bottom w:w="0" w:type="dxa"/>
              <w:right w:w="108" w:type="dxa"/>
            </w:tcMar>
            <w:vAlign w:val="center"/>
            <w:hideMark/>
          </w:tcPr>
          <w:p w14:paraId="7DF974B9" w14:textId="77777777" w:rsidR="000D3B00" w:rsidRDefault="000D3B00" w:rsidP="00B64738">
            <w:pPr>
              <w:spacing w:after="0"/>
            </w:pPr>
            <w:r>
              <w:rPr>
                <w:color w:val="000000"/>
              </w:rPr>
              <w:t>Gt CO2eq</w:t>
            </w:r>
          </w:p>
        </w:tc>
        <w:tc>
          <w:tcPr>
            <w:tcW w:w="4422" w:type="dxa"/>
            <w:tcBorders>
              <w:top w:val="nil"/>
              <w:left w:val="nil"/>
              <w:bottom w:val="single" w:sz="8" w:space="0" w:color="8EAADB"/>
              <w:right w:val="single" w:sz="4" w:space="0" w:color="auto"/>
            </w:tcBorders>
            <w:noWrap/>
            <w:tcMar>
              <w:top w:w="0" w:type="dxa"/>
              <w:left w:w="108" w:type="dxa"/>
              <w:bottom w:w="0" w:type="dxa"/>
              <w:right w:w="108" w:type="dxa"/>
            </w:tcMar>
            <w:hideMark/>
          </w:tcPr>
          <w:p w14:paraId="65FFCE1F" w14:textId="77777777" w:rsidR="000D3B00" w:rsidRDefault="000D3B00" w:rsidP="00B64738">
            <w:pPr>
              <w:spacing w:after="0"/>
              <w:jc w:val="left"/>
            </w:pPr>
            <w:r>
              <w:t>These values, which include scopes 1, 2, and 3.</w:t>
            </w:r>
          </w:p>
        </w:tc>
      </w:tr>
      <w:tr w:rsidR="000D3B00" w14:paraId="5FFF9DA1" w14:textId="77777777" w:rsidTr="00B64738">
        <w:trPr>
          <w:trHeight w:val="300"/>
          <w:jc w:val="center"/>
        </w:trPr>
        <w:tc>
          <w:tcPr>
            <w:tcW w:w="2778" w:type="dxa"/>
            <w:tcBorders>
              <w:top w:val="nil"/>
              <w:left w:val="single" w:sz="4" w:space="0" w:color="auto"/>
              <w:bottom w:val="single" w:sz="8" w:space="0" w:color="8EAADB"/>
              <w:right w:val="single" w:sz="8" w:space="0" w:color="8EAADB"/>
            </w:tcBorders>
            <w:shd w:val="clear" w:color="auto" w:fill="D9E2F3"/>
            <w:noWrap/>
            <w:tcMar>
              <w:top w:w="0" w:type="dxa"/>
              <w:left w:w="108" w:type="dxa"/>
              <w:bottom w:w="0" w:type="dxa"/>
              <w:right w:w="108" w:type="dxa"/>
            </w:tcMar>
            <w:vAlign w:val="center"/>
            <w:hideMark/>
          </w:tcPr>
          <w:p w14:paraId="7028172D" w14:textId="77777777" w:rsidR="000D3B00" w:rsidRDefault="000D3B00" w:rsidP="00B64738">
            <w:pPr>
              <w:spacing w:after="0"/>
              <w:jc w:val="left"/>
              <w:rPr>
                <w:b/>
                <w:bCs/>
              </w:rPr>
            </w:pPr>
            <w:r>
              <w:rPr>
                <w:b/>
                <w:bCs/>
                <w:color w:val="000000"/>
              </w:rPr>
              <w:t>Scope 1+2 emissions (production and processes) (%)</w:t>
            </w:r>
          </w:p>
        </w:tc>
        <w:tc>
          <w:tcPr>
            <w:tcW w:w="794" w:type="dxa"/>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vAlign w:val="center"/>
            <w:hideMark/>
          </w:tcPr>
          <w:p w14:paraId="4D0E0159" w14:textId="77777777" w:rsidR="000D3B00" w:rsidRDefault="000D3B00" w:rsidP="00B64738">
            <w:pPr>
              <w:spacing w:after="0"/>
              <w:jc w:val="center"/>
            </w:pPr>
            <w:r>
              <w:rPr>
                <w:color w:val="000000"/>
              </w:rPr>
              <w:t>20%</w:t>
            </w:r>
          </w:p>
        </w:tc>
        <w:tc>
          <w:tcPr>
            <w:tcW w:w="907" w:type="dxa"/>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vAlign w:val="center"/>
            <w:hideMark/>
          </w:tcPr>
          <w:p w14:paraId="2D5691AB" w14:textId="6868CDC6" w:rsidR="000D3B00" w:rsidRDefault="000D3B00" w:rsidP="00B64738">
            <w:pPr>
              <w:spacing w:after="0"/>
              <w:jc w:val="center"/>
            </w:pPr>
            <w:r>
              <w:rPr>
                <w:color w:val="000000"/>
              </w:rPr>
              <w:t>2</w:t>
            </w:r>
            <w:r w:rsidR="00DD3994">
              <w:rPr>
                <w:color w:val="000000"/>
              </w:rPr>
              <w:t>3</w:t>
            </w:r>
            <w:r>
              <w:rPr>
                <w:color w:val="000000"/>
              </w:rPr>
              <w:t>%</w:t>
            </w:r>
          </w:p>
        </w:tc>
        <w:tc>
          <w:tcPr>
            <w:tcW w:w="1417" w:type="dxa"/>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vAlign w:val="center"/>
            <w:hideMark/>
          </w:tcPr>
          <w:p w14:paraId="6D1F1AE5" w14:textId="77777777" w:rsidR="000D3B00" w:rsidRDefault="000D3B00" w:rsidP="00B64738">
            <w:pPr>
              <w:spacing w:after="0"/>
            </w:pPr>
          </w:p>
        </w:tc>
        <w:tc>
          <w:tcPr>
            <w:tcW w:w="4422" w:type="dxa"/>
            <w:tcBorders>
              <w:top w:val="nil"/>
              <w:left w:val="nil"/>
              <w:bottom w:val="single" w:sz="8" w:space="0" w:color="8EAADB"/>
              <w:right w:val="single" w:sz="4" w:space="0" w:color="auto"/>
            </w:tcBorders>
            <w:shd w:val="clear" w:color="auto" w:fill="D9E2F3"/>
            <w:noWrap/>
            <w:tcMar>
              <w:top w:w="0" w:type="dxa"/>
              <w:left w:w="108" w:type="dxa"/>
              <w:bottom w:w="0" w:type="dxa"/>
              <w:right w:w="108" w:type="dxa"/>
            </w:tcMar>
            <w:hideMark/>
          </w:tcPr>
          <w:p w14:paraId="5D57B1DC" w14:textId="457AE2AA" w:rsidR="000D3B00" w:rsidRDefault="000D3B00" w:rsidP="00B64738">
            <w:pPr>
              <w:spacing w:after="0"/>
              <w:jc w:val="left"/>
            </w:pPr>
            <w:r>
              <w:rPr>
                <w:color w:val="000000"/>
              </w:rPr>
              <w:t xml:space="preserve">IEA’s 2018 World Energy Outlook p. 486 (oil) &amp; p. 489 (gas): The 2018 WEO estimates that 20% of CO2e emissions from oil production, </w:t>
            </w:r>
            <w:proofErr w:type="gramStart"/>
            <w:r>
              <w:rPr>
                <w:color w:val="000000"/>
              </w:rPr>
              <w:t>processing</w:t>
            </w:r>
            <w:proofErr w:type="gramEnd"/>
            <w:r>
              <w:rPr>
                <w:color w:val="000000"/>
              </w:rPr>
              <w:t xml:space="preserve"> and end use and 25% of CO2e emissions from gas production, processing and end use are scope 1 and scope 2</w:t>
            </w:r>
            <w:r w:rsidR="00152F06">
              <w:rPr>
                <w:color w:val="000000"/>
              </w:rPr>
              <w:t xml:space="preserve"> (23% excluding LNG process)</w:t>
            </w:r>
            <w:r>
              <w:rPr>
                <w:color w:val="000000"/>
              </w:rPr>
              <w:t>.</w:t>
            </w:r>
          </w:p>
        </w:tc>
      </w:tr>
      <w:tr w:rsidR="000D3B00" w14:paraId="2AC96249" w14:textId="77777777" w:rsidTr="00B64738">
        <w:trPr>
          <w:trHeight w:val="300"/>
          <w:jc w:val="center"/>
        </w:trPr>
        <w:tc>
          <w:tcPr>
            <w:tcW w:w="2778" w:type="dxa"/>
            <w:tcBorders>
              <w:top w:val="nil"/>
              <w:left w:val="single" w:sz="4" w:space="0" w:color="auto"/>
              <w:bottom w:val="single" w:sz="8" w:space="0" w:color="8EAADB"/>
              <w:right w:val="single" w:sz="8" w:space="0" w:color="8EAADB"/>
            </w:tcBorders>
            <w:noWrap/>
            <w:tcMar>
              <w:top w:w="0" w:type="dxa"/>
              <w:left w:w="108" w:type="dxa"/>
              <w:bottom w:w="0" w:type="dxa"/>
              <w:right w:w="108" w:type="dxa"/>
            </w:tcMar>
            <w:vAlign w:val="center"/>
            <w:hideMark/>
          </w:tcPr>
          <w:p w14:paraId="6C4F0F04" w14:textId="3C77474E" w:rsidR="000D3B00" w:rsidRDefault="000D3B00" w:rsidP="00B64738">
            <w:pPr>
              <w:spacing w:after="0"/>
              <w:jc w:val="left"/>
              <w:rPr>
                <w:b/>
                <w:bCs/>
              </w:rPr>
            </w:pPr>
            <w:r>
              <w:rPr>
                <w:b/>
                <w:bCs/>
                <w:color w:val="000000"/>
              </w:rPr>
              <w:t>Scope 1+2 emissions</w:t>
            </w:r>
          </w:p>
        </w:tc>
        <w:tc>
          <w:tcPr>
            <w:tcW w:w="794" w:type="dxa"/>
            <w:tcBorders>
              <w:top w:val="nil"/>
              <w:left w:val="nil"/>
              <w:bottom w:val="single" w:sz="8" w:space="0" w:color="8EAADB"/>
              <w:right w:val="single" w:sz="8" w:space="0" w:color="8EAADB"/>
            </w:tcBorders>
            <w:noWrap/>
            <w:tcMar>
              <w:top w:w="0" w:type="dxa"/>
              <w:left w:w="108" w:type="dxa"/>
              <w:bottom w:w="0" w:type="dxa"/>
              <w:right w:w="108" w:type="dxa"/>
            </w:tcMar>
            <w:vAlign w:val="center"/>
            <w:hideMark/>
          </w:tcPr>
          <w:p w14:paraId="2FFFEB04" w14:textId="77777777" w:rsidR="000D3B00" w:rsidRDefault="000D3B00" w:rsidP="00B64738">
            <w:pPr>
              <w:spacing w:after="0"/>
              <w:jc w:val="center"/>
            </w:pPr>
            <w:r>
              <w:rPr>
                <w:color w:val="000000"/>
              </w:rPr>
              <w:t>2,4</w:t>
            </w:r>
          </w:p>
        </w:tc>
        <w:tc>
          <w:tcPr>
            <w:tcW w:w="907" w:type="dxa"/>
            <w:tcBorders>
              <w:top w:val="nil"/>
              <w:left w:val="nil"/>
              <w:bottom w:val="single" w:sz="8" w:space="0" w:color="8EAADB"/>
              <w:right w:val="single" w:sz="8" w:space="0" w:color="8EAADB"/>
            </w:tcBorders>
            <w:noWrap/>
            <w:tcMar>
              <w:top w:w="0" w:type="dxa"/>
              <w:left w:w="108" w:type="dxa"/>
              <w:bottom w:w="0" w:type="dxa"/>
              <w:right w:w="108" w:type="dxa"/>
            </w:tcMar>
            <w:vAlign w:val="center"/>
            <w:hideMark/>
          </w:tcPr>
          <w:p w14:paraId="07E7B4ED" w14:textId="17B46974" w:rsidR="000D3B00" w:rsidRDefault="00DD3994" w:rsidP="00B64738">
            <w:pPr>
              <w:spacing w:after="0"/>
              <w:jc w:val="center"/>
            </w:pPr>
            <w:r>
              <w:rPr>
                <w:color w:val="000000"/>
              </w:rPr>
              <w:t>1</w:t>
            </w:r>
            <w:r w:rsidR="000D3B00">
              <w:rPr>
                <w:color w:val="000000"/>
              </w:rPr>
              <w:t>,</w:t>
            </w:r>
            <w:r w:rsidR="00C55F52">
              <w:rPr>
                <w:color w:val="000000"/>
              </w:rPr>
              <w:t>8</w:t>
            </w:r>
          </w:p>
        </w:tc>
        <w:tc>
          <w:tcPr>
            <w:tcW w:w="1417" w:type="dxa"/>
            <w:tcBorders>
              <w:top w:val="nil"/>
              <w:left w:val="nil"/>
              <w:bottom w:val="single" w:sz="8" w:space="0" w:color="8EAADB"/>
              <w:right w:val="single" w:sz="8" w:space="0" w:color="8EAADB"/>
            </w:tcBorders>
            <w:noWrap/>
            <w:tcMar>
              <w:top w:w="0" w:type="dxa"/>
              <w:left w:w="108" w:type="dxa"/>
              <w:bottom w:w="0" w:type="dxa"/>
              <w:right w:w="108" w:type="dxa"/>
            </w:tcMar>
            <w:vAlign w:val="center"/>
            <w:hideMark/>
          </w:tcPr>
          <w:p w14:paraId="5F148B9D" w14:textId="77777777" w:rsidR="000D3B00" w:rsidRDefault="000D3B00" w:rsidP="00B64738">
            <w:pPr>
              <w:spacing w:after="0"/>
            </w:pPr>
            <w:r>
              <w:rPr>
                <w:color w:val="000000"/>
              </w:rPr>
              <w:t>Gt CO2eq</w:t>
            </w:r>
          </w:p>
        </w:tc>
        <w:tc>
          <w:tcPr>
            <w:tcW w:w="4422" w:type="dxa"/>
            <w:tcBorders>
              <w:top w:val="nil"/>
              <w:left w:val="nil"/>
              <w:bottom w:val="single" w:sz="8" w:space="0" w:color="8EAADB"/>
              <w:right w:val="single" w:sz="4" w:space="0" w:color="auto"/>
            </w:tcBorders>
            <w:noWrap/>
            <w:tcMar>
              <w:top w:w="0" w:type="dxa"/>
              <w:left w:w="108" w:type="dxa"/>
              <w:bottom w:w="0" w:type="dxa"/>
              <w:right w:w="108" w:type="dxa"/>
            </w:tcMar>
            <w:hideMark/>
          </w:tcPr>
          <w:p w14:paraId="323CE39F" w14:textId="77777777" w:rsidR="000D3B00" w:rsidRDefault="000D3B00" w:rsidP="00B64738">
            <w:pPr>
              <w:spacing w:after="0"/>
              <w:jc w:val="left"/>
            </w:pPr>
          </w:p>
        </w:tc>
      </w:tr>
      <w:tr w:rsidR="000D3B00" w14:paraId="425294D2" w14:textId="77777777" w:rsidTr="00B64738">
        <w:trPr>
          <w:trHeight w:val="300"/>
          <w:jc w:val="center"/>
        </w:trPr>
        <w:tc>
          <w:tcPr>
            <w:tcW w:w="2778" w:type="dxa"/>
            <w:tcBorders>
              <w:top w:val="nil"/>
              <w:left w:val="single" w:sz="4" w:space="0" w:color="auto"/>
              <w:bottom w:val="single" w:sz="8" w:space="0" w:color="8EAADB"/>
              <w:right w:val="single" w:sz="8" w:space="0" w:color="8EAADB"/>
            </w:tcBorders>
            <w:shd w:val="clear" w:color="auto" w:fill="D9E2F3"/>
            <w:noWrap/>
            <w:tcMar>
              <w:top w:w="0" w:type="dxa"/>
              <w:left w:w="108" w:type="dxa"/>
              <w:bottom w:w="0" w:type="dxa"/>
              <w:right w:w="108" w:type="dxa"/>
            </w:tcMar>
            <w:vAlign w:val="center"/>
            <w:hideMark/>
          </w:tcPr>
          <w:p w14:paraId="0ACC451E" w14:textId="77777777" w:rsidR="000D3B00" w:rsidRDefault="000D3B00" w:rsidP="00B64738">
            <w:pPr>
              <w:spacing w:after="0"/>
              <w:jc w:val="left"/>
              <w:rPr>
                <w:b/>
                <w:bCs/>
              </w:rPr>
            </w:pPr>
            <w:r>
              <w:rPr>
                <w:b/>
                <w:bCs/>
                <w:color w:val="000000"/>
              </w:rPr>
              <w:t>Total primary energy demand</w:t>
            </w:r>
          </w:p>
        </w:tc>
        <w:tc>
          <w:tcPr>
            <w:tcW w:w="794" w:type="dxa"/>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vAlign w:val="center"/>
            <w:hideMark/>
          </w:tcPr>
          <w:p w14:paraId="59844505" w14:textId="77777777" w:rsidR="000D3B00" w:rsidRDefault="000D3B00" w:rsidP="00B64738">
            <w:pPr>
              <w:spacing w:after="0"/>
              <w:jc w:val="center"/>
            </w:pPr>
            <w:r>
              <w:rPr>
                <w:color w:val="000000"/>
              </w:rPr>
              <w:t>32 509</w:t>
            </w:r>
          </w:p>
        </w:tc>
        <w:tc>
          <w:tcPr>
            <w:tcW w:w="907" w:type="dxa"/>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vAlign w:val="center"/>
            <w:hideMark/>
          </w:tcPr>
          <w:p w14:paraId="4258C8B4" w14:textId="68B0480F" w:rsidR="000D3B00" w:rsidRDefault="000D3B00" w:rsidP="00B64738">
            <w:pPr>
              <w:spacing w:after="0"/>
              <w:jc w:val="center"/>
            </w:pPr>
            <w:r>
              <w:rPr>
                <w:color w:val="000000"/>
              </w:rPr>
              <w:t>2</w:t>
            </w:r>
            <w:r w:rsidR="00E95592">
              <w:rPr>
                <w:color w:val="000000"/>
              </w:rPr>
              <w:t>2</w:t>
            </w:r>
            <w:r w:rsidR="00D80672">
              <w:rPr>
                <w:color w:val="000000"/>
              </w:rPr>
              <w:t xml:space="preserve"> </w:t>
            </w:r>
            <w:r w:rsidR="00E95592">
              <w:rPr>
                <w:color w:val="000000"/>
              </w:rPr>
              <w:t>774</w:t>
            </w:r>
          </w:p>
        </w:tc>
        <w:tc>
          <w:tcPr>
            <w:tcW w:w="1417" w:type="dxa"/>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vAlign w:val="center"/>
            <w:hideMark/>
          </w:tcPr>
          <w:p w14:paraId="63186CD7" w14:textId="77777777" w:rsidR="000D3B00" w:rsidRDefault="000D3B00" w:rsidP="00B64738">
            <w:pPr>
              <w:spacing w:after="0"/>
            </w:pPr>
            <w:r>
              <w:rPr>
                <w:color w:val="000000"/>
              </w:rPr>
              <w:t>Mboe</w:t>
            </w:r>
          </w:p>
        </w:tc>
        <w:tc>
          <w:tcPr>
            <w:tcW w:w="4422" w:type="dxa"/>
            <w:tcBorders>
              <w:top w:val="nil"/>
              <w:left w:val="nil"/>
              <w:bottom w:val="single" w:sz="8" w:space="0" w:color="8EAADB"/>
              <w:right w:val="single" w:sz="4" w:space="0" w:color="auto"/>
            </w:tcBorders>
            <w:shd w:val="clear" w:color="auto" w:fill="D9E2F3"/>
            <w:noWrap/>
            <w:tcMar>
              <w:top w:w="0" w:type="dxa"/>
              <w:left w:w="108" w:type="dxa"/>
              <w:bottom w:w="0" w:type="dxa"/>
              <w:right w:w="108" w:type="dxa"/>
            </w:tcMar>
            <w:hideMark/>
          </w:tcPr>
          <w:p w14:paraId="3B1470F0" w14:textId="5DE027F9" w:rsidR="00DD3994" w:rsidRDefault="000D3B00" w:rsidP="00D80672">
            <w:pPr>
              <w:spacing w:after="0"/>
              <w:jc w:val="left"/>
            </w:pPr>
            <w:r>
              <w:rPr>
                <w:color w:val="000000"/>
              </w:rPr>
              <w:t>International Energy Agency's World Energy Outlook WEO 2018 (tables 1.2, p. 486)</w:t>
            </w:r>
          </w:p>
        </w:tc>
      </w:tr>
      <w:tr w:rsidR="000D3B00" w14:paraId="19FA9887" w14:textId="77777777" w:rsidTr="00B64738">
        <w:trPr>
          <w:trHeight w:val="300"/>
          <w:jc w:val="center"/>
        </w:trPr>
        <w:tc>
          <w:tcPr>
            <w:tcW w:w="2778" w:type="dxa"/>
            <w:tcBorders>
              <w:top w:val="nil"/>
              <w:left w:val="single" w:sz="4" w:space="0" w:color="auto"/>
              <w:bottom w:val="single" w:sz="8" w:space="0" w:color="8EAADB"/>
              <w:right w:val="single" w:sz="8" w:space="0" w:color="8EAADB"/>
            </w:tcBorders>
            <w:noWrap/>
            <w:tcMar>
              <w:top w:w="0" w:type="dxa"/>
              <w:left w:w="108" w:type="dxa"/>
              <w:bottom w:w="0" w:type="dxa"/>
              <w:right w:w="108" w:type="dxa"/>
            </w:tcMar>
            <w:vAlign w:val="center"/>
            <w:hideMark/>
          </w:tcPr>
          <w:p w14:paraId="75242004" w14:textId="77777777" w:rsidR="000D3B00" w:rsidRDefault="000D3B00" w:rsidP="00B64738">
            <w:pPr>
              <w:spacing w:after="0"/>
              <w:jc w:val="left"/>
              <w:rPr>
                <w:b/>
                <w:bCs/>
              </w:rPr>
            </w:pPr>
            <w:r>
              <w:rPr>
                <w:b/>
                <w:bCs/>
                <w:color w:val="000000"/>
              </w:rPr>
              <w:t>Scope 1+2 intensity (total)</w:t>
            </w:r>
          </w:p>
        </w:tc>
        <w:tc>
          <w:tcPr>
            <w:tcW w:w="794" w:type="dxa"/>
            <w:tcBorders>
              <w:top w:val="nil"/>
              <w:left w:val="nil"/>
              <w:bottom w:val="single" w:sz="8" w:space="0" w:color="8EAADB"/>
              <w:right w:val="single" w:sz="8" w:space="0" w:color="8EAADB"/>
            </w:tcBorders>
            <w:noWrap/>
            <w:tcMar>
              <w:top w:w="0" w:type="dxa"/>
              <w:left w:w="108" w:type="dxa"/>
              <w:bottom w:w="0" w:type="dxa"/>
              <w:right w:w="108" w:type="dxa"/>
            </w:tcMar>
            <w:vAlign w:val="center"/>
            <w:hideMark/>
          </w:tcPr>
          <w:p w14:paraId="05ED3098" w14:textId="77777777" w:rsidR="000D3B00" w:rsidRDefault="000D3B00" w:rsidP="00B64738">
            <w:pPr>
              <w:spacing w:after="0"/>
              <w:jc w:val="center"/>
            </w:pPr>
            <w:r>
              <w:rPr>
                <w:color w:val="000000"/>
              </w:rPr>
              <w:t>75,0</w:t>
            </w:r>
          </w:p>
        </w:tc>
        <w:tc>
          <w:tcPr>
            <w:tcW w:w="907" w:type="dxa"/>
            <w:tcBorders>
              <w:top w:val="nil"/>
              <w:left w:val="nil"/>
              <w:bottom w:val="single" w:sz="8" w:space="0" w:color="8EAADB"/>
              <w:right w:val="single" w:sz="8" w:space="0" w:color="8EAADB"/>
            </w:tcBorders>
            <w:noWrap/>
            <w:tcMar>
              <w:top w:w="0" w:type="dxa"/>
              <w:left w:w="108" w:type="dxa"/>
              <w:bottom w:w="0" w:type="dxa"/>
              <w:right w:w="108" w:type="dxa"/>
            </w:tcMar>
            <w:vAlign w:val="center"/>
            <w:hideMark/>
          </w:tcPr>
          <w:p w14:paraId="776DE380" w14:textId="1B2E64C2" w:rsidR="000D3B00" w:rsidRDefault="00D80672" w:rsidP="00B64738">
            <w:pPr>
              <w:spacing w:after="0"/>
              <w:jc w:val="center"/>
            </w:pPr>
            <w:r>
              <w:rPr>
                <w:color w:val="000000"/>
              </w:rPr>
              <w:t>78.7</w:t>
            </w:r>
          </w:p>
        </w:tc>
        <w:tc>
          <w:tcPr>
            <w:tcW w:w="1417" w:type="dxa"/>
            <w:tcBorders>
              <w:top w:val="nil"/>
              <w:left w:val="nil"/>
              <w:bottom w:val="single" w:sz="8" w:space="0" w:color="8EAADB"/>
              <w:right w:val="single" w:sz="8" w:space="0" w:color="8EAADB"/>
            </w:tcBorders>
            <w:noWrap/>
            <w:tcMar>
              <w:top w:w="0" w:type="dxa"/>
              <w:left w:w="108" w:type="dxa"/>
              <w:bottom w:w="0" w:type="dxa"/>
              <w:right w:w="108" w:type="dxa"/>
            </w:tcMar>
            <w:vAlign w:val="center"/>
            <w:hideMark/>
          </w:tcPr>
          <w:p w14:paraId="4DBD8CC0" w14:textId="77777777" w:rsidR="000D3B00" w:rsidRDefault="000D3B00" w:rsidP="00B64738">
            <w:pPr>
              <w:spacing w:after="0"/>
            </w:pPr>
            <w:r>
              <w:rPr>
                <w:color w:val="000000"/>
              </w:rPr>
              <w:t>kg CO2eq/boe</w:t>
            </w:r>
          </w:p>
        </w:tc>
        <w:tc>
          <w:tcPr>
            <w:tcW w:w="4422" w:type="dxa"/>
            <w:tcBorders>
              <w:top w:val="nil"/>
              <w:left w:val="nil"/>
              <w:bottom w:val="single" w:sz="8" w:space="0" w:color="8EAADB"/>
              <w:right w:val="single" w:sz="4" w:space="0" w:color="auto"/>
            </w:tcBorders>
            <w:noWrap/>
            <w:tcMar>
              <w:top w:w="0" w:type="dxa"/>
              <w:left w:w="108" w:type="dxa"/>
              <w:bottom w:w="0" w:type="dxa"/>
              <w:right w:w="108" w:type="dxa"/>
            </w:tcMar>
            <w:hideMark/>
          </w:tcPr>
          <w:p w14:paraId="7BCD8746" w14:textId="77777777" w:rsidR="000D3B00" w:rsidRDefault="000D3B00" w:rsidP="00B64738">
            <w:pPr>
              <w:spacing w:after="0"/>
              <w:jc w:val="left"/>
            </w:pPr>
            <w:r>
              <w:t xml:space="preserve">Scope 1+2 emissions / Total primary Energy Demand </w:t>
            </w:r>
          </w:p>
        </w:tc>
      </w:tr>
      <w:tr w:rsidR="000D3B00" w14:paraId="16E75954" w14:textId="77777777" w:rsidTr="00B64738">
        <w:trPr>
          <w:trHeight w:val="300"/>
          <w:jc w:val="center"/>
        </w:trPr>
        <w:tc>
          <w:tcPr>
            <w:tcW w:w="2778" w:type="dxa"/>
            <w:tcBorders>
              <w:top w:val="nil"/>
              <w:left w:val="single" w:sz="4" w:space="0" w:color="auto"/>
              <w:bottom w:val="single" w:sz="8" w:space="0" w:color="8EAADB"/>
              <w:right w:val="single" w:sz="8" w:space="0" w:color="8EAADB"/>
            </w:tcBorders>
            <w:shd w:val="clear" w:color="auto" w:fill="D9E2F3"/>
            <w:noWrap/>
            <w:tcMar>
              <w:top w:w="0" w:type="dxa"/>
              <w:left w:w="108" w:type="dxa"/>
              <w:bottom w:w="0" w:type="dxa"/>
              <w:right w:w="108" w:type="dxa"/>
            </w:tcMar>
            <w:vAlign w:val="center"/>
            <w:hideMark/>
          </w:tcPr>
          <w:p w14:paraId="3DBA3CEC" w14:textId="77777777" w:rsidR="000D3B00" w:rsidRDefault="000D3B00" w:rsidP="00B64738">
            <w:pPr>
              <w:spacing w:after="0"/>
              <w:jc w:val="left"/>
              <w:rPr>
                <w:b/>
                <w:bCs/>
              </w:rPr>
            </w:pPr>
            <w:r>
              <w:rPr>
                <w:b/>
                <w:bCs/>
                <w:color w:val="000000"/>
              </w:rPr>
              <w:t xml:space="preserve">% </w:t>
            </w:r>
            <w:proofErr w:type="gramStart"/>
            <w:r>
              <w:rPr>
                <w:b/>
                <w:bCs/>
                <w:color w:val="000000"/>
              </w:rPr>
              <w:t>of</w:t>
            </w:r>
            <w:proofErr w:type="gramEnd"/>
            <w:r>
              <w:rPr>
                <w:b/>
                <w:bCs/>
                <w:color w:val="000000"/>
              </w:rPr>
              <w:t xml:space="preserve"> upstream</w:t>
            </w:r>
          </w:p>
        </w:tc>
        <w:tc>
          <w:tcPr>
            <w:tcW w:w="794" w:type="dxa"/>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vAlign w:val="center"/>
            <w:hideMark/>
          </w:tcPr>
          <w:p w14:paraId="2CC00752" w14:textId="77777777" w:rsidR="000D3B00" w:rsidRDefault="000D3B00" w:rsidP="00B64738">
            <w:pPr>
              <w:spacing w:after="0"/>
              <w:jc w:val="center"/>
            </w:pPr>
            <w:r>
              <w:rPr>
                <w:color w:val="000000"/>
              </w:rPr>
              <w:t>65%</w:t>
            </w:r>
          </w:p>
        </w:tc>
        <w:tc>
          <w:tcPr>
            <w:tcW w:w="907" w:type="dxa"/>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vAlign w:val="center"/>
            <w:hideMark/>
          </w:tcPr>
          <w:p w14:paraId="5DE5A99B" w14:textId="5DDC2A83" w:rsidR="000D3B00" w:rsidRDefault="000D3B00" w:rsidP="00B64738">
            <w:pPr>
              <w:spacing w:after="0"/>
              <w:jc w:val="center"/>
            </w:pPr>
            <w:r>
              <w:rPr>
                <w:color w:val="000000"/>
              </w:rPr>
              <w:t>7</w:t>
            </w:r>
            <w:r w:rsidR="007C2F16">
              <w:rPr>
                <w:color w:val="000000"/>
              </w:rPr>
              <w:t>4</w:t>
            </w:r>
            <w:r>
              <w:rPr>
                <w:color w:val="000000"/>
              </w:rPr>
              <w:t>%</w:t>
            </w:r>
          </w:p>
        </w:tc>
        <w:tc>
          <w:tcPr>
            <w:tcW w:w="1417" w:type="dxa"/>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vAlign w:val="center"/>
            <w:hideMark/>
          </w:tcPr>
          <w:p w14:paraId="4EA890D3" w14:textId="77777777" w:rsidR="000D3B00" w:rsidRDefault="000D3B00" w:rsidP="00B64738">
            <w:pPr>
              <w:spacing w:after="0"/>
            </w:pPr>
          </w:p>
        </w:tc>
        <w:tc>
          <w:tcPr>
            <w:tcW w:w="4422" w:type="dxa"/>
            <w:tcBorders>
              <w:top w:val="nil"/>
              <w:left w:val="nil"/>
              <w:bottom w:val="single" w:sz="8" w:space="0" w:color="8EAADB"/>
              <w:right w:val="single" w:sz="4" w:space="0" w:color="auto"/>
            </w:tcBorders>
            <w:shd w:val="clear" w:color="auto" w:fill="D9E2F3"/>
            <w:noWrap/>
            <w:tcMar>
              <w:top w:w="0" w:type="dxa"/>
              <w:left w:w="108" w:type="dxa"/>
              <w:bottom w:w="0" w:type="dxa"/>
              <w:right w:w="108" w:type="dxa"/>
            </w:tcMar>
            <w:hideMark/>
          </w:tcPr>
          <w:p w14:paraId="33C8CF9C" w14:textId="77777777" w:rsidR="000D3B00" w:rsidRDefault="000D3B00" w:rsidP="00B64738">
            <w:pPr>
              <w:spacing w:after="0"/>
              <w:jc w:val="left"/>
              <w:rPr>
                <w:color w:val="000000"/>
              </w:rPr>
            </w:pPr>
            <w:r>
              <w:rPr>
                <w:color w:val="000000"/>
              </w:rPr>
              <w:t>Oil: IEA’s 2018 World Energy Outlook p. 491: 35% is refining</w:t>
            </w:r>
          </w:p>
          <w:p w14:paraId="39D16F29" w14:textId="6257BABB" w:rsidR="000D3B00" w:rsidRDefault="000D3B00" w:rsidP="00B64738">
            <w:pPr>
              <w:spacing w:after="0"/>
              <w:jc w:val="left"/>
            </w:pPr>
            <w:r>
              <w:rPr>
                <w:color w:val="000000"/>
              </w:rPr>
              <w:t>Gas: IEA’s 2018 World Energy Outlook p. 491: 2</w:t>
            </w:r>
            <w:r w:rsidR="00DD3994">
              <w:rPr>
                <w:color w:val="000000"/>
              </w:rPr>
              <w:t>6</w:t>
            </w:r>
            <w:r>
              <w:rPr>
                <w:color w:val="000000"/>
              </w:rPr>
              <w:t>% is pipeline</w:t>
            </w:r>
            <w:r w:rsidR="00DD3994">
              <w:rPr>
                <w:color w:val="000000"/>
              </w:rPr>
              <w:t xml:space="preserve">, </w:t>
            </w:r>
            <w:proofErr w:type="gramStart"/>
            <w:r w:rsidR="00DD3994">
              <w:rPr>
                <w:color w:val="000000"/>
              </w:rPr>
              <w:t>LNG</w:t>
            </w:r>
            <w:proofErr w:type="gramEnd"/>
            <w:r>
              <w:rPr>
                <w:color w:val="000000"/>
              </w:rPr>
              <w:t xml:space="preserve"> and downstream methane</w:t>
            </w:r>
          </w:p>
        </w:tc>
      </w:tr>
      <w:tr w:rsidR="000D3B00" w14:paraId="592B2819" w14:textId="77777777" w:rsidTr="00B64738">
        <w:trPr>
          <w:trHeight w:val="300"/>
          <w:jc w:val="center"/>
        </w:trPr>
        <w:tc>
          <w:tcPr>
            <w:tcW w:w="2778" w:type="dxa"/>
            <w:tcBorders>
              <w:top w:val="nil"/>
              <w:left w:val="single" w:sz="4" w:space="0" w:color="auto"/>
              <w:bottom w:val="single" w:sz="4" w:space="0" w:color="auto"/>
              <w:right w:val="single" w:sz="8" w:space="0" w:color="8EAADB"/>
            </w:tcBorders>
            <w:noWrap/>
            <w:tcMar>
              <w:top w:w="0" w:type="dxa"/>
              <w:left w:w="108" w:type="dxa"/>
              <w:bottom w:w="0" w:type="dxa"/>
              <w:right w:w="108" w:type="dxa"/>
            </w:tcMar>
            <w:vAlign w:val="center"/>
            <w:hideMark/>
          </w:tcPr>
          <w:p w14:paraId="445A9B9F" w14:textId="77777777" w:rsidR="000D3B00" w:rsidRDefault="000D3B00" w:rsidP="00B64738">
            <w:pPr>
              <w:spacing w:after="0"/>
              <w:jc w:val="left"/>
              <w:rPr>
                <w:b/>
                <w:bCs/>
              </w:rPr>
            </w:pPr>
            <w:r>
              <w:rPr>
                <w:b/>
                <w:bCs/>
                <w:color w:val="000000"/>
              </w:rPr>
              <w:t>Scope 1+2 intensity upstream</w:t>
            </w:r>
          </w:p>
        </w:tc>
        <w:tc>
          <w:tcPr>
            <w:tcW w:w="794" w:type="dxa"/>
            <w:tcBorders>
              <w:top w:val="nil"/>
              <w:left w:val="nil"/>
              <w:bottom w:val="single" w:sz="4" w:space="0" w:color="auto"/>
              <w:right w:val="single" w:sz="8" w:space="0" w:color="8EAADB"/>
            </w:tcBorders>
            <w:noWrap/>
            <w:tcMar>
              <w:top w:w="0" w:type="dxa"/>
              <w:left w:w="108" w:type="dxa"/>
              <w:bottom w:w="0" w:type="dxa"/>
              <w:right w:w="108" w:type="dxa"/>
            </w:tcMar>
            <w:vAlign w:val="center"/>
            <w:hideMark/>
          </w:tcPr>
          <w:p w14:paraId="6310EDC3" w14:textId="77777777" w:rsidR="000D3B00" w:rsidRPr="00F86F14" w:rsidRDefault="000D3B00" w:rsidP="00B64738">
            <w:pPr>
              <w:spacing w:after="0"/>
              <w:jc w:val="center"/>
              <w:rPr>
                <w:b/>
                <w:bCs/>
              </w:rPr>
            </w:pPr>
            <w:r w:rsidRPr="00F86F14">
              <w:rPr>
                <w:b/>
                <w:bCs/>
                <w:color w:val="000000"/>
              </w:rPr>
              <w:t>48,7</w:t>
            </w:r>
          </w:p>
        </w:tc>
        <w:tc>
          <w:tcPr>
            <w:tcW w:w="907" w:type="dxa"/>
            <w:tcBorders>
              <w:top w:val="nil"/>
              <w:left w:val="nil"/>
              <w:bottom w:val="single" w:sz="4" w:space="0" w:color="auto"/>
              <w:right w:val="single" w:sz="8" w:space="0" w:color="8EAADB"/>
            </w:tcBorders>
            <w:noWrap/>
            <w:tcMar>
              <w:top w:w="0" w:type="dxa"/>
              <w:left w:w="108" w:type="dxa"/>
              <w:bottom w:w="0" w:type="dxa"/>
              <w:right w:w="108" w:type="dxa"/>
            </w:tcMar>
            <w:vAlign w:val="center"/>
            <w:hideMark/>
          </w:tcPr>
          <w:p w14:paraId="1B7E4B3A" w14:textId="7D4EEE37" w:rsidR="000D3B00" w:rsidRPr="004B4F8D" w:rsidRDefault="00E4429A" w:rsidP="00D80672">
            <w:pPr>
              <w:spacing w:after="0"/>
              <w:jc w:val="center"/>
              <w:rPr>
                <w:b/>
                <w:bCs/>
                <w:color w:val="000000"/>
              </w:rPr>
            </w:pPr>
            <w:r>
              <w:rPr>
                <w:b/>
                <w:bCs/>
                <w:color w:val="000000"/>
              </w:rPr>
              <w:t>58,3</w:t>
            </w:r>
          </w:p>
        </w:tc>
        <w:tc>
          <w:tcPr>
            <w:tcW w:w="1417" w:type="dxa"/>
            <w:tcBorders>
              <w:top w:val="nil"/>
              <w:left w:val="nil"/>
              <w:bottom w:val="single" w:sz="4" w:space="0" w:color="auto"/>
              <w:right w:val="single" w:sz="8" w:space="0" w:color="8EAADB"/>
            </w:tcBorders>
            <w:noWrap/>
            <w:tcMar>
              <w:top w:w="0" w:type="dxa"/>
              <w:left w:w="108" w:type="dxa"/>
              <w:bottom w:w="0" w:type="dxa"/>
              <w:right w:w="108" w:type="dxa"/>
            </w:tcMar>
            <w:vAlign w:val="center"/>
            <w:hideMark/>
          </w:tcPr>
          <w:p w14:paraId="5718AD6F" w14:textId="77777777" w:rsidR="000D3B00" w:rsidRPr="00F86F14" w:rsidRDefault="000D3B00" w:rsidP="00B64738">
            <w:pPr>
              <w:spacing w:after="0"/>
              <w:rPr>
                <w:b/>
                <w:bCs/>
              </w:rPr>
            </w:pPr>
            <w:r w:rsidRPr="00F86F14">
              <w:rPr>
                <w:b/>
                <w:bCs/>
                <w:color w:val="000000"/>
              </w:rPr>
              <w:t>kg CO2eq/boe</w:t>
            </w:r>
          </w:p>
        </w:tc>
        <w:tc>
          <w:tcPr>
            <w:tcW w:w="4422" w:type="dxa"/>
            <w:tcBorders>
              <w:top w:val="nil"/>
              <w:left w:val="nil"/>
              <w:bottom w:val="single" w:sz="4" w:space="0" w:color="auto"/>
              <w:right w:val="single" w:sz="4" w:space="0" w:color="auto"/>
            </w:tcBorders>
            <w:noWrap/>
            <w:tcMar>
              <w:top w:w="0" w:type="dxa"/>
              <w:left w:w="108" w:type="dxa"/>
              <w:bottom w:w="0" w:type="dxa"/>
              <w:right w:w="108" w:type="dxa"/>
            </w:tcMar>
          </w:tcPr>
          <w:p w14:paraId="68C27275" w14:textId="77777777" w:rsidR="000D3B00" w:rsidRDefault="000D3B00" w:rsidP="00B64738">
            <w:pPr>
              <w:spacing w:after="0"/>
              <w:jc w:val="left"/>
            </w:pPr>
          </w:p>
        </w:tc>
      </w:tr>
    </w:tbl>
    <w:p w14:paraId="38F8271B" w14:textId="77777777" w:rsidR="005F649C" w:rsidRDefault="005F649C" w:rsidP="005F649C">
      <w:pPr>
        <w:rPr>
          <w:lang w:eastAsia="fr-FR"/>
        </w:rPr>
      </w:pPr>
      <w:bookmarkStart w:id="15" w:name="_Ref19001180"/>
    </w:p>
    <w:p w14:paraId="778A28C5" w14:textId="77777777" w:rsidR="005F649C" w:rsidRDefault="005F649C">
      <w:pPr>
        <w:spacing w:after="0" w:line="276" w:lineRule="auto"/>
        <w:jc w:val="left"/>
        <w:rPr>
          <w:rFonts w:cstheme="minorHAnsi"/>
          <w:b/>
          <w:color w:val="365F91" w:themeColor="accent1" w:themeShade="BF"/>
          <w:sz w:val="32"/>
          <w:szCs w:val="20"/>
          <w:lang w:eastAsia="fr-FR"/>
        </w:rPr>
      </w:pPr>
      <w:r>
        <w:rPr>
          <w:lang w:eastAsia="fr-FR"/>
        </w:rPr>
        <w:br w:type="page"/>
      </w:r>
    </w:p>
    <w:p w14:paraId="475B02ED" w14:textId="64084955" w:rsidR="0029589C" w:rsidRDefault="0029589C" w:rsidP="0029589C">
      <w:pPr>
        <w:pStyle w:val="Heading1"/>
        <w:rPr>
          <w:lang w:eastAsia="fr-FR"/>
        </w:rPr>
      </w:pPr>
      <w:bookmarkStart w:id="16" w:name="_Toc97226721"/>
      <w:r>
        <w:rPr>
          <w:lang w:eastAsia="fr-FR"/>
        </w:rPr>
        <w:lastRenderedPageBreak/>
        <w:t xml:space="preserve">Focus on the OGCI </w:t>
      </w:r>
      <w:r w:rsidR="008F392D">
        <w:rPr>
          <w:lang w:eastAsia="fr-FR"/>
        </w:rPr>
        <w:t>m</w:t>
      </w:r>
      <w:r>
        <w:rPr>
          <w:lang w:eastAsia="fr-FR"/>
        </w:rPr>
        <w:t>ethane intensity</w:t>
      </w:r>
      <w:bookmarkEnd w:id="15"/>
      <w:r w:rsidR="008F392D">
        <w:rPr>
          <w:lang w:eastAsia="fr-FR"/>
        </w:rPr>
        <w:t xml:space="preserve"> indicator</w:t>
      </w:r>
      <w:bookmarkEnd w:id="16"/>
    </w:p>
    <w:p w14:paraId="60C5E32D" w14:textId="77777777" w:rsidR="0029589C" w:rsidRPr="00A80AE5" w:rsidRDefault="0029589C" w:rsidP="0029589C">
      <w:pPr>
        <w:pStyle w:val="Heading2"/>
      </w:pPr>
      <w:r w:rsidRPr="00A80AE5">
        <w:t>Purpose</w:t>
      </w:r>
    </w:p>
    <w:p w14:paraId="22A912DC" w14:textId="77777777" w:rsidR="0029589C" w:rsidRDefault="0029589C" w:rsidP="0029589C">
      <w:r>
        <w:t>This methodological note is meant to describe the process and framework through which the OGCI methane emissions intensity target and ambition have been established. It covers the following aspects:</w:t>
      </w:r>
    </w:p>
    <w:p w14:paraId="4B454FC6" w14:textId="77777777" w:rsidR="0029589C" w:rsidRDefault="0029589C" w:rsidP="0035559C">
      <w:pPr>
        <w:pStyle w:val="ListParagraph"/>
        <w:numPr>
          <w:ilvl w:val="0"/>
          <w:numId w:val="15"/>
        </w:numPr>
        <w:spacing w:after="160" w:line="259" w:lineRule="auto"/>
      </w:pPr>
      <w:r>
        <w:t>The concept of the methane intensity target and ambition</w:t>
      </w:r>
    </w:p>
    <w:p w14:paraId="3D122E34" w14:textId="77777777" w:rsidR="0029589C" w:rsidRDefault="0029589C" w:rsidP="0035559C">
      <w:pPr>
        <w:pStyle w:val="ListParagraph"/>
        <w:numPr>
          <w:ilvl w:val="0"/>
          <w:numId w:val="15"/>
        </w:numPr>
        <w:spacing w:after="160" w:line="259" w:lineRule="auto"/>
      </w:pPr>
      <w:r>
        <w:t>Scope of activities covered by the target and ambition</w:t>
      </w:r>
    </w:p>
    <w:p w14:paraId="7D836178" w14:textId="77777777" w:rsidR="0029589C" w:rsidRDefault="0029589C" w:rsidP="0035559C">
      <w:pPr>
        <w:pStyle w:val="ListParagraph"/>
        <w:numPr>
          <w:ilvl w:val="0"/>
          <w:numId w:val="15"/>
        </w:numPr>
        <w:spacing w:after="160" w:line="259" w:lineRule="auto"/>
      </w:pPr>
      <w:r>
        <w:t>Emissions sources included in the scope for the quantification of intensities</w:t>
      </w:r>
    </w:p>
    <w:p w14:paraId="343F3DF8" w14:textId="77777777" w:rsidR="0029589C" w:rsidRDefault="0029589C" w:rsidP="0035559C">
      <w:pPr>
        <w:pStyle w:val="ListParagraph"/>
        <w:numPr>
          <w:ilvl w:val="0"/>
          <w:numId w:val="15"/>
        </w:numPr>
        <w:spacing w:after="160" w:line="259" w:lineRule="auto"/>
      </w:pPr>
      <w:r>
        <w:t xml:space="preserve">Methodology for establishing the baseline, </w:t>
      </w:r>
      <w:proofErr w:type="gramStart"/>
      <w:r>
        <w:t>target</w:t>
      </w:r>
      <w:proofErr w:type="gramEnd"/>
      <w:r>
        <w:t xml:space="preserve"> and ambition intensities</w:t>
      </w:r>
    </w:p>
    <w:p w14:paraId="793912DB" w14:textId="77777777" w:rsidR="0029589C" w:rsidRDefault="0029589C" w:rsidP="0035559C">
      <w:pPr>
        <w:pStyle w:val="ListParagraph"/>
        <w:numPr>
          <w:ilvl w:val="0"/>
          <w:numId w:val="15"/>
        </w:numPr>
        <w:spacing w:after="160" w:line="259" w:lineRule="auto"/>
      </w:pPr>
      <w:r>
        <w:t>Data limitations</w:t>
      </w:r>
    </w:p>
    <w:p w14:paraId="1D954B81" w14:textId="77777777" w:rsidR="0029589C" w:rsidRDefault="0029589C" w:rsidP="0029589C">
      <w:pPr>
        <w:pStyle w:val="Heading2"/>
      </w:pPr>
      <w:r>
        <w:t xml:space="preserve">Methane </w:t>
      </w:r>
      <w:r w:rsidRPr="0037511E">
        <w:t>intensity</w:t>
      </w:r>
      <w:r>
        <w:t xml:space="preserve"> concept</w:t>
      </w:r>
    </w:p>
    <w:p w14:paraId="037E55BB" w14:textId="77777777" w:rsidR="0029589C" w:rsidRDefault="0029589C" w:rsidP="0029589C">
      <w:r>
        <w:t xml:space="preserve">The OGCI methane intensity target and ambition, announced in 2018, applies to the upstream, operated gas and oil sector. The target and ambition year is 2025. A baseline intensity was also established for 2017. </w:t>
      </w:r>
    </w:p>
    <w:p w14:paraId="20AB8D73" w14:textId="77777777" w:rsidR="0029589C" w:rsidRDefault="0029589C" w:rsidP="0029589C">
      <w:r>
        <w:t xml:space="preserve">The intensity baseline, target and ambition are presented as percentage figures, which represent the volume of methane emissions for the upstream gas and oil sector as a percentage of the volume of the total gas marketed for the same upstream sector.  The baseline, target and ambition represent the collective methane intensities for the </w:t>
      </w:r>
      <w:proofErr w:type="gramStart"/>
      <w:r>
        <w:t>OGCI as a whole</w:t>
      </w:r>
      <w:proofErr w:type="gramEnd"/>
      <w:r>
        <w:t xml:space="preserve">.    </w:t>
      </w:r>
    </w:p>
    <w:p w14:paraId="705E3630" w14:textId="77777777" w:rsidR="0029589C" w:rsidRPr="00831279" w:rsidRDefault="0029589C" w:rsidP="000D3580">
      <w:pPr>
        <w:jc w:val="center"/>
      </w:pPr>
      <m:oMath>
        <m:r>
          <w:rPr>
            <w:rFonts w:ascii="Cambria Math" w:hAnsi="Cambria Math"/>
          </w:rPr>
          <m:t>Intensity OGCI=</m:t>
        </m:r>
        <m:d>
          <m:dPr>
            <m:ctrlPr>
              <w:rPr>
                <w:rFonts w:ascii="Cambria Math" w:hAnsi="Cambria Math"/>
                <w:i/>
              </w:rPr>
            </m:ctrlPr>
          </m:dPr>
          <m:e>
            <m:f>
              <m:fPr>
                <m:ctrlPr>
                  <w:rPr>
                    <w:rFonts w:ascii="Cambria Math" w:hAnsi="Cambria Math"/>
                    <w:i/>
                  </w:rPr>
                </m:ctrlPr>
              </m:fPr>
              <m:num>
                <m:eqArr>
                  <m:eqArrPr>
                    <m:ctrlPr>
                      <w:rPr>
                        <w:rFonts w:ascii="Cambria Math" w:hAnsi="Cambria Math"/>
                        <w:i/>
                      </w:rPr>
                    </m:ctrlPr>
                  </m:eqArrPr>
                  <m:e>
                    <m:nary>
                      <m:naryPr>
                        <m:chr m:val="∑"/>
                        <m:limLoc m:val="undOvr"/>
                        <m:subHide m:val="1"/>
                        <m:supHide m:val="1"/>
                        <m:ctrlPr>
                          <w:rPr>
                            <w:rFonts w:ascii="Cambria Math" w:hAnsi="Cambria Math"/>
                            <w:i/>
                          </w:rPr>
                        </m:ctrlPr>
                      </m:naryPr>
                      <m:sub/>
                      <m:sup/>
                      <m:e>
                        <m:r>
                          <w:rPr>
                            <w:rFonts w:ascii="Cambria Math" w:hAnsi="Cambria Math"/>
                          </w:rPr>
                          <m:t>all OGCI</m:t>
                        </m:r>
                      </m:e>
                    </m:nary>
                  </m:e>
                  <m:e>
                    <m:r>
                      <w:rPr>
                        <w:rFonts w:ascii="Cambria Math" w:hAnsi="Cambria Math"/>
                      </w:rPr>
                      <m:t>companies</m:t>
                    </m:r>
                  </m:e>
                </m:eqArr>
                <m:r>
                  <w:rPr>
                    <w:rFonts w:ascii="Cambria Math" w:hAnsi="Cambria Math"/>
                  </w:rPr>
                  <m:t>CH4 emissions</m:t>
                </m:r>
              </m:num>
              <m:den>
                <m:eqArr>
                  <m:eqArrPr>
                    <m:ctrlPr>
                      <w:rPr>
                        <w:rFonts w:ascii="Cambria Math" w:hAnsi="Cambria Math"/>
                        <w:i/>
                      </w:rPr>
                    </m:ctrlPr>
                  </m:eqArrPr>
                  <m:e>
                    <m:nary>
                      <m:naryPr>
                        <m:chr m:val="∑"/>
                        <m:limLoc m:val="undOvr"/>
                        <m:subHide m:val="1"/>
                        <m:supHide m:val="1"/>
                        <m:ctrlPr>
                          <w:rPr>
                            <w:rFonts w:ascii="Cambria Math" w:hAnsi="Cambria Math"/>
                            <w:i/>
                          </w:rPr>
                        </m:ctrlPr>
                      </m:naryPr>
                      <m:sub/>
                      <m:sup/>
                      <m:e>
                        <m:r>
                          <w:rPr>
                            <w:rFonts w:ascii="Cambria Math" w:hAnsi="Cambria Math"/>
                          </w:rPr>
                          <m:t>all OGCI</m:t>
                        </m:r>
                      </m:e>
                    </m:nary>
                  </m:e>
                  <m:e>
                    <m:r>
                      <w:rPr>
                        <w:rFonts w:ascii="Cambria Math" w:hAnsi="Cambria Math"/>
                      </w:rPr>
                      <m:t>companies</m:t>
                    </m:r>
                  </m:e>
                </m:eqArr>
                <m:r>
                  <w:rPr>
                    <w:rFonts w:ascii="Cambria Math" w:hAnsi="Cambria Math"/>
                  </w:rPr>
                  <m:t xml:space="preserve"> marketed natural gas</m:t>
                </m:r>
              </m:den>
            </m:f>
          </m:e>
        </m:d>
        <m:r>
          <w:rPr>
            <w:rFonts w:ascii="Cambria Math" w:hAnsi="Cambria Math"/>
          </w:rPr>
          <m:t xml:space="preserve"> =</m:t>
        </m:r>
      </m:oMath>
      <w:r>
        <w:rPr>
          <w:rFonts w:eastAsiaTheme="minorEastAsia"/>
        </w:rPr>
        <w:t xml:space="preserve"> </w:t>
      </w:r>
      <w:proofErr w:type="gramStart"/>
      <w:r w:rsidRPr="00904969">
        <w:rPr>
          <w:rFonts w:eastAsiaTheme="minorEastAsia"/>
        </w:rPr>
        <w:t>methane</w:t>
      </w:r>
      <w:r w:rsidRPr="00904969">
        <w:rPr>
          <w:rFonts w:eastAsiaTheme="minorEastAsia"/>
          <w:vertAlign w:val="subscript"/>
        </w:rPr>
        <w:t>[</w:t>
      </w:r>
      <w:proofErr w:type="spellStart"/>
      <w:proofErr w:type="gramEnd"/>
      <w:r w:rsidRPr="00904969">
        <w:rPr>
          <w:rFonts w:eastAsiaTheme="minorEastAsia"/>
          <w:vertAlign w:val="subscript"/>
        </w:rPr>
        <w:t>Sm</w:t>
      </w:r>
      <w:proofErr w:type="spellEnd"/>
      <w:r w:rsidRPr="00904969">
        <w:rPr>
          <w:rFonts w:eastAsiaTheme="minorEastAsia"/>
          <w:vertAlign w:val="subscript"/>
        </w:rPr>
        <w:t>ᶟ]</w:t>
      </w:r>
      <w:r>
        <w:rPr>
          <w:rFonts w:eastAsiaTheme="minorEastAsia"/>
          <w:vertAlign w:val="subscript"/>
        </w:rPr>
        <w:t xml:space="preserve"> </w:t>
      </w:r>
      <w:r>
        <w:rPr>
          <w:rFonts w:eastAsiaTheme="minorEastAsia"/>
        </w:rPr>
        <w:t>/ gas</w:t>
      </w:r>
      <w:r w:rsidRPr="00CC1B2B">
        <w:rPr>
          <w:rFonts w:eastAsiaTheme="minorEastAsia" w:cstheme="minorHAnsi"/>
          <w:vertAlign w:val="subscript"/>
        </w:rPr>
        <w:t>[</w:t>
      </w:r>
      <w:proofErr w:type="spellStart"/>
      <w:r w:rsidRPr="00904969">
        <w:rPr>
          <w:rFonts w:eastAsiaTheme="minorEastAsia"/>
          <w:vertAlign w:val="subscript"/>
        </w:rPr>
        <w:t>Sm</w:t>
      </w:r>
      <w:proofErr w:type="spellEnd"/>
      <w:r w:rsidRPr="00904969">
        <w:rPr>
          <w:rFonts w:eastAsiaTheme="minorEastAsia"/>
          <w:vertAlign w:val="subscript"/>
        </w:rPr>
        <w:t>ᶟ</w:t>
      </w:r>
      <w:r w:rsidRPr="00CC1B2B">
        <w:rPr>
          <w:rFonts w:eastAsiaTheme="minorEastAsia" w:cstheme="minorHAnsi"/>
          <w:vertAlign w:val="subscript"/>
        </w:rPr>
        <w:t>]</w:t>
      </w:r>
    </w:p>
    <w:p w14:paraId="6951BF3A" w14:textId="50BB02E3" w:rsidR="0029589C" w:rsidRPr="0075481A" w:rsidRDefault="0029589C" w:rsidP="0029589C">
      <w:pPr>
        <w:pStyle w:val="Caption"/>
        <w:rPr>
          <w:lang w:val="en-GB"/>
        </w:rPr>
      </w:pPr>
      <w:r w:rsidRPr="0075481A">
        <w:t xml:space="preserve">Figure </w:t>
      </w:r>
      <w:r w:rsidRPr="0075481A">
        <w:fldChar w:fldCharType="begin"/>
      </w:r>
      <w:r w:rsidRPr="0075481A">
        <w:instrText xml:space="preserve"> SEQ Figure \* ARABIC </w:instrText>
      </w:r>
      <w:r w:rsidRPr="0075481A">
        <w:fldChar w:fldCharType="separate"/>
      </w:r>
      <w:r w:rsidR="00120F27">
        <w:rPr>
          <w:noProof/>
        </w:rPr>
        <w:t>4</w:t>
      </w:r>
      <w:r w:rsidRPr="0075481A">
        <w:rPr>
          <w:noProof/>
        </w:rPr>
        <w:fldChar w:fldCharType="end"/>
      </w:r>
      <w:r w:rsidRPr="0075481A">
        <w:t xml:space="preserve">: Quantification of the OGCI upstream methane intensity  </w:t>
      </w:r>
    </w:p>
    <w:p w14:paraId="00221494" w14:textId="77777777" w:rsidR="0029589C" w:rsidRDefault="0029589C" w:rsidP="0029589C">
      <w:r>
        <w:rPr>
          <w:rFonts w:ascii="Calibri" w:eastAsia="Calibri" w:hAnsi="Calibri" w:cs="Times New Roman"/>
          <w:iCs/>
          <w:noProof/>
          <w:lang w:eastAsia="it-IT"/>
        </w:rPr>
        <w:t xml:space="preserve">The intensity figure covers upstream operations where OGCI member companies have operational control and for which each </w:t>
      </w:r>
      <w:r>
        <w:t>company has specific reporting routines and nomenclatures.</w:t>
      </w:r>
      <w:r>
        <w:rPr>
          <w:rFonts w:ascii="Calibri" w:eastAsia="Calibri" w:hAnsi="Calibri" w:cs="Times New Roman"/>
          <w:iCs/>
          <w:noProof/>
          <w:lang w:eastAsia="it-IT"/>
        </w:rPr>
        <w:t xml:space="preserve"> </w:t>
      </w:r>
      <w:r>
        <w:t xml:space="preserve">All methane emissions from operated upstream assets marketing oil and/or gas are included: 100% of methane emissions at the asset level are included and are not divided based on equity or entitlement shares. Assets where an OGCI company has an equity interest, but does not function as operator, are outside of the boundary for inclusion and no emissions nor production associated with these “partner-operated” assets are included in the current baseline, </w:t>
      </w:r>
      <w:proofErr w:type="gramStart"/>
      <w:r>
        <w:t>target</w:t>
      </w:r>
      <w:proofErr w:type="gramEnd"/>
      <w:r>
        <w:t xml:space="preserve"> or ambition </w:t>
      </w:r>
      <w:bookmarkStart w:id="17" w:name="_Hlk518657667"/>
      <w:r>
        <w:t xml:space="preserve">intensities. Within the context of the scope for the establishment of the intensity baseline, </w:t>
      </w:r>
      <w:proofErr w:type="gramStart"/>
      <w:r>
        <w:t>target</w:t>
      </w:r>
      <w:proofErr w:type="gramEnd"/>
      <w:r>
        <w:t xml:space="preserve"> and ambition, “upstream” can be described broadly as “from wellhead to point of sale</w:t>
      </w:r>
      <w:r>
        <w:rPr>
          <w:rStyle w:val="FootnoteReference"/>
        </w:rPr>
        <w:footnoteReference w:id="6"/>
      </w:r>
      <w:r>
        <w:t>”. More specifically, upstream is defined in line with the concept referenced in the IEA’s Outlook for Natural Gas</w:t>
      </w:r>
      <w:r>
        <w:rPr>
          <w:rStyle w:val="FootnoteReference"/>
        </w:rPr>
        <w:footnoteReference w:id="7"/>
      </w:r>
      <w:r>
        <w:t xml:space="preserve"> as including the production of oil and gas, as well as the gathering and processing of natural gas. </w:t>
      </w:r>
    </w:p>
    <w:p w14:paraId="367C1296" w14:textId="77777777" w:rsidR="0029589C" w:rsidRDefault="0029589C" w:rsidP="0029589C">
      <w:r>
        <w:t xml:space="preserve">In addition, the choice has been made to include gas liquefaction within the OGCI’s “upstream” scope concept. Refining, shipping, </w:t>
      </w:r>
      <w:proofErr w:type="gramStart"/>
      <w:r>
        <w:t>transmission</w:t>
      </w:r>
      <w:proofErr w:type="gramEnd"/>
      <w:r>
        <w:t xml:space="preserve"> and distribution activities, considered as “downstream” activities, are excluded from the OGCI “upstream” scope. Moreover, exploration drilling activities are considered outside of the boundary for inclusion (as this activity can be seen as separate from the value chain for marketed gas and oil), while production drilling and completions are considered within the boundary for inclusion.</w:t>
      </w:r>
    </w:p>
    <w:bookmarkEnd w:id="17"/>
    <w:p w14:paraId="50E1CD66" w14:textId="77777777" w:rsidR="0029589C" w:rsidRDefault="0029589C" w:rsidP="0029589C">
      <w:r>
        <w:t>The figure below details the scope of assets covered by the methane intensity target:</w:t>
      </w:r>
      <w:r w:rsidRPr="00BA20FD">
        <w:t xml:space="preserve"> </w:t>
      </w:r>
    </w:p>
    <w:p w14:paraId="4ABA4A7E" w14:textId="77777777" w:rsidR="0029589C" w:rsidRDefault="0029589C" w:rsidP="0029589C">
      <w:pPr>
        <w:keepNext/>
        <w:jc w:val="center"/>
      </w:pPr>
      <w:r>
        <w:rPr>
          <w:noProof/>
          <w:lang w:val="it-IT" w:eastAsia="it-IT"/>
        </w:rPr>
        <w:drawing>
          <wp:inline distT="0" distB="0" distL="0" distR="0" wp14:anchorId="236A5BCB" wp14:editId="75A094EE">
            <wp:extent cx="3935135" cy="1260000"/>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35135" cy="1260000"/>
                    </a:xfrm>
                    <a:prstGeom prst="rect">
                      <a:avLst/>
                    </a:prstGeom>
                  </pic:spPr>
                </pic:pic>
              </a:graphicData>
            </a:graphic>
          </wp:inline>
        </w:drawing>
      </w:r>
    </w:p>
    <w:p w14:paraId="67C89871" w14:textId="5827CDAD" w:rsidR="0029589C" w:rsidRPr="0029589C" w:rsidRDefault="0029589C" w:rsidP="0029589C">
      <w:pPr>
        <w:pStyle w:val="Caption"/>
      </w:pPr>
      <w:r w:rsidRPr="0029589C">
        <w:t xml:space="preserve">Figure </w:t>
      </w:r>
      <w:r w:rsidRPr="0029589C">
        <w:fldChar w:fldCharType="begin"/>
      </w:r>
      <w:r w:rsidRPr="0029589C">
        <w:instrText xml:space="preserve"> SEQ Figure \* ARABIC </w:instrText>
      </w:r>
      <w:r w:rsidRPr="0029589C">
        <w:fldChar w:fldCharType="separate"/>
      </w:r>
      <w:r w:rsidR="00120F27">
        <w:rPr>
          <w:noProof/>
        </w:rPr>
        <w:t>5</w:t>
      </w:r>
      <w:r w:rsidRPr="0029589C">
        <w:fldChar w:fldCharType="end"/>
      </w:r>
      <w:r w:rsidRPr="0029589C">
        <w:t>: Boundaries of the methane intensity target (illustration)</w:t>
      </w:r>
    </w:p>
    <w:p w14:paraId="158D1619" w14:textId="354959C0" w:rsidR="0029589C" w:rsidRDefault="0029589C" w:rsidP="0029589C">
      <w:r w:rsidRPr="00E54BFE">
        <w:lastRenderedPageBreak/>
        <w:t>In the case of gas liquefaction (</w:t>
      </w:r>
      <w:proofErr w:type="gramStart"/>
      <w:r w:rsidRPr="00E54BFE">
        <w:t>e.g.</w:t>
      </w:r>
      <w:proofErr w:type="gramEnd"/>
      <w:r w:rsidRPr="00E54BFE">
        <w:t xml:space="preserve"> LNG</w:t>
      </w:r>
      <w:r w:rsidR="00022147">
        <w:t>) and gas-to-liquids process (</w:t>
      </w:r>
      <w:r w:rsidRPr="00E54BFE">
        <w:t xml:space="preserve">GTL), </w:t>
      </w:r>
      <w:r>
        <w:t xml:space="preserve">in particular, </w:t>
      </w:r>
      <w:r w:rsidRPr="00E54BFE">
        <w:t xml:space="preserve">the boundaries for inclusion </w:t>
      </w:r>
      <w:r>
        <w:t>for the quantification of the OGCI upstream methane intensity</w:t>
      </w:r>
      <w:r w:rsidRPr="00E54BFE">
        <w:t xml:space="preserve"> may vary from company to company, operation to operation and even cargo to cargo, depending upon where the point of sale is located. For example, based upon the boundary description, if a company has operational control for a regasification facility, with point of sale being defined as where the gas from this facility enters the transportation network, then this regasification facility and its emissions fall within the boundary for </w:t>
      </w:r>
      <w:r>
        <w:t>inclusion, which again is more conservative than the “upstream” concept referenced in the IEA’s Outlook for Natural Gas. In the case of tolling agreement</w:t>
      </w:r>
      <w:r w:rsidR="008F392D">
        <w:t>s</w:t>
      </w:r>
      <w:r>
        <w:t xml:space="preserve">, if the natural gas processed remains under the ownership of the toller, the quantity of natural gas processed by the member company should not be accounted in the quantity of marketed natural gas; the associated methane emissions should be accounted as under the </w:t>
      </w:r>
      <w:r w:rsidR="003E6ADA">
        <w:t>operational</w:t>
      </w:r>
      <w:r>
        <w:t xml:space="preserve"> control of the member company</w:t>
      </w:r>
      <w:r>
        <w:rPr>
          <w:rFonts w:ascii="Arial" w:hAnsi="Arial" w:cs="Arial"/>
          <w:color w:val="000000"/>
          <w:shd w:val="clear" w:color="auto" w:fill="FFFFFF"/>
        </w:rPr>
        <w:t>.</w:t>
      </w:r>
    </w:p>
    <w:p w14:paraId="609577E6" w14:textId="6BA490CF" w:rsidR="0029589C" w:rsidRDefault="0029589C" w:rsidP="0029589C">
      <w:r>
        <w:t xml:space="preserve">An intensity target and ambition, as opposed to an absolute target or ambition, has been chosen, as it remains relevant even if there are changes to the OGCI asset make-up.  Specifically, due to the nature of the upstream oil and gas business, it </w:t>
      </w:r>
      <w:r w:rsidR="00417DAD">
        <w:t>should</w:t>
      </w:r>
      <w:r>
        <w:t xml:space="preserve"> be expected that some of the assets (and corresponding methane emissions and hydrocarbon production) within the boundaries for inclusion for the 2017 baseline, will not be relevant in the target and ambition year of 2025. This may, for example be due to decommissioning or divestment in the 2018-2025 period. Similarly, new assets may enter the inclusion scope for the target and ambition over the same period, </w:t>
      </w:r>
      <w:proofErr w:type="gramStart"/>
      <w:r>
        <w:t>as a result of</w:t>
      </w:r>
      <w:proofErr w:type="gramEnd"/>
      <w:r>
        <w:t xml:space="preserve"> start-ups and/or acquisitions. At the same time the make-up of the OGCI may also change towards 2025, with the potential that some companies may join</w:t>
      </w:r>
      <w:r w:rsidDel="0025541E">
        <w:t xml:space="preserve"> </w:t>
      </w:r>
      <w:r>
        <w:t xml:space="preserve">the initiative, while others may leave. </w:t>
      </w:r>
    </w:p>
    <w:p w14:paraId="6125A2F2" w14:textId="77777777" w:rsidR="0029589C" w:rsidRDefault="0029589C" w:rsidP="0029589C">
      <w:r>
        <w:t xml:space="preserve">The utilization of an intensity-based target and ambition, rather than an absolute target and ambition, helps to mitigate the possibility that variations in OGCI members’ asset portfolios and/or amongst the OGCI membership will have a material impact on the ability of OGCI, collectively, to reach the 2025 methane intensity target and ambition.  Nonetheless, the possibility does exist </w:t>
      </w:r>
      <w:proofErr w:type="gramStart"/>
      <w:r>
        <w:t>that changes</w:t>
      </w:r>
      <w:proofErr w:type="gramEnd"/>
      <w:r>
        <w:t xml:space="preserve"> in OGCI members’ portfolios and/or in OGCI membership, towards 2025, could lead to material increases or reductions in the collective, upstream methane intensity for OGCI. To monitor this, methane intensity will be calculated and tracked annually towards the 2025 target/ambition year, based upon the assets included within the inclusion scope in the given year. </w:t>
      </w:r>
    </w:p>
    <w:p w14:paraId="7BE9096F" w14:textId="77777777" w:rsidR="0029589C" w:rsidRDefault="0029589C" w:rsidP="0029589C">
      <w:r>
        <w:t xml:space="preserve">In addition, an intensity-based target and ambition allows the OGCI to positively influence the methane performance of industry at large, as the methane intensity metric allows for easy benchmarking by others.  </w:t>
      </w:r>
    </w:p>
    <w:p w14:paraId="361BDA44" w14:textId="77777777" w:rsidR="0029589C" w:rsidRDefault="0029589C" w:rsidP="0029589C">
      <w:pPr>
        <w:pStyle w:val="Heading2"/>
      </w:pPr>
      <w:r>
        <w:t>Emissions sources covered by the methane target</w:t>
      </w:r>
    </w:p>
    <w:p w14:paraId="65912EC1" w14:textId="77777777" w:rsidR="0029589C" w:rsidRDefault="0029589C" w:rsidP="0029589C">
      <w:pPr>
        <w:rPr>
          <w:color w:val="FF0000"/>
        </w:rPr>
      </w:pPr>
      <w:r w:rsidRPr="00DB4B24">
        <w:t xml:space="preserve">As the aim of the </w:t>
      </w:r>
      <w:r>
        <w:t xml:space="preserve">methane intensity baseline, </w:t>
      </w:r>
      <w:r w:rsidRPr="00DB4B24">
        <w:t>target</w:t>
      </w:r>
      <w:r>
        <w:t xml:space="preserve"> and ambition are </w:t>
      </w:r>
      <w:r w:rsidRPr="00DB4B24">
        <w:t>to demonstrate the level of methane emissions from upstream gas</w:t>
      </w:r>
      <w:r>
        <w:t xml:space="preserve"> and oil</w:t>
      </w:r>
      <w:r w:rsidRPr="00DB4B24">
        <w:t xml:space="preserve"> production, </w:t>
      </w:r>
      <w:r w:rsidRPr="00ED2D2B">
        <w:rPr>
          <w:bCs/>
        </w:rPr>
        <w:t>all</w:t>
      </w:r>
      <w:r w:rsidRPr="00DB4B24">
        <w:rPr>
          <w:bCs/>
        </w:rPr>
        <w:t xml:space="preserve"> sources within the upstream sector are covered by the </w:t>
      </w:r>
      <w:r>
        <w:rPr>
          <w:bCs/>
        </w:rPr>
        <w:t xml:space="preserve">baseline, </w:t>
      </w:r>
      <w:proofErr w:type="gramStart"/>
      <w:r w:rsidRPr="00DB4B24">
        <w:rPr>
          <w:bCs/>
        </w:rPr>
        <w:t>target</w:t>
      </w:r>
      <w:proofErr w:type="gramEnd"/>
      <w:r>
        <w:rPr>
          <w:bCs/>
        </w:rPr>
        <w:t xml:space="preserve"> and ambition. This means that methane emissions from fugitives, venting and incomplete combustion, for example in flares and turbines, are all included. </w:t>
      </w:r>
      <w:r w:rsidRPr="00E54BFE">
        <w:rPr>
          <w:bCs/>
        </w:rPr>
        <w:t xml:space="preserve">Following this approach, emissions linked to </w:t>
      </w:r>
      <w:r w:rsidRPr="00BD6473">
        <w:rPr>
          <w:bCs/>
          <w:i/>
        </w:rPr>
        <w:t>force majeure</w:t>
      </w:r>
      <w:r w:rsidRPr="00E54BFE">
        <w:rPr>
          <w:bCs/>
        </w:rPr>
        <w:t xml:space="preserve"> events or sabotage are also included.</w:t>
      </w:r>
    </w:p>
    <w:p w14:paraId="0DBB89F8" w14:textId="77777777" w:rsidR="0029589C" w:rsidRDefault="0029589C" w:rsidP="0029589C">
      <w:r>
        <w:t>The (non-comprehensive) list below details typical sources of emissions that are included in the scope of methane emissions reported:</w:t>
      </w:r>
    </w:p>
    <w:p w14:paraId="6EA89920" w14:textId="77777777" w:rsidR="0029589C" w:rsidRPr="00A61408" w:rsidRDefault="0029589C" w:rsidP="0029589C">
      <w:pPr>
        <w:rPr>
          <w:u w:val="single"/>
        </w:rPr>
      </w:pPr>
      <w:r w:rsidRPr="00A61408">
        <w:rPr>
          <w:u w:val="single"/>
        </w:rPr>
        <w:t>Non-combustion related emissions</w:t>
      </w:r>
    </w:p>
    <w:p w14:paraId="55075D01" w14:textId="77777777" w:rsidR="0029589C" w:rsidRPr="00831279" w:rsidRDefault="0029589C" w:rsidP="0035559C">
      <w:pPr>
        <w:pStyle w:val="ListParagraph"/>
        <w:numPr>
          <w:ilvl w:val="0"/>
          <w:numId w:val="20"/>
        </w:numPr>
      </w:pPr>
      <w:r w:rsidRPr="00831279">
        <w:t>Hydrocarbon storage tanks</w:t>
      </w:r>
    </w:p>
    <w:p w14:paraId="1687DD49" w14:textId="77777777" w:rsidR="0029589C" w:rsidRPr="00831279" w:rsidRDefault="0029589C" w:rsidP="0035559C">
      <w:pPr>
        <w:pStyle w:val="ListParagraph"/>
        <w:numPr>
          <w:ilvl w:val="0"/>
          <w:numId w:val="20"/>
        </w:numPr>
      </w:pPr>
      <w:r w:rsidRPr="00831279">
        <w:t>Compressor seals</w:t>
      </w:r>
    </w:p>
    <w:p w14:paraId="7540FEE6" w14:textId="77777777" w:rsidR="0029589C" w:rsidRPr="00831279" w:rsidRDefault="0029589C" w:rsidP="0035559C">
      <w:pPr>
        <w:pStyle w:val="ListParagraph"/>
        <w:numPr>
          <w:ilvl w:val="0"/>
          <w:numId w:val="20"/>
        </w:numPr>
      </w:pPr>
      <w:r w:rsidRPr="00831279">
        <w:t>Pneumatic controls and pumps</w:t>
      </w:r>
    </w:p>
    <w:p w14:paraId="597FC566" w14:textId="77777777" w:rsidR="0029589C" w:rsidRPr="00831279" w:rsidRDefault="0029589C" w:rsidP="0035559C">
      <w:pPr>
        <w:pStyle w:val="ListParagraph"/>
        <w:numPr>
          <w:ilvl w:val="0"/>
          <w:numId w:val="20"/>
        </w:numPr>
      </w:pPr>
      <w:r w:rsidRPr="00831279">
        <w:t>Liquids unloading and storage</w:t>
      </w:r>
    </w:p>
    <w:p w14:paraId="15C4C009" w14:textId="77777777" w:rsidR="0029589C" w:rsidRPr="00831279" w:rsidRDefault="0029589C" w:rsidP="0035559C">
      <w:pPr>
        <w:pStyle w:val="ListParagraph"/>
        <w:numPr>
          <w:ilvl w:val="0"/>
          <w:numId w:val="20"/>
        </w:numPr>
      </w:pPr>
      <w:r w:rsidRPr="00831279">
        <w:t>Fugitive leaks</w:t>
      </w:r>
    </w:p>
    <w:p w14:paraId="3807D4EA" w14:textId="77777777" w:rsidR="0029589C" w:rsidRPr="00831279" w:rsidRDefault="0029589C" w:rsidP="0035559C">
      <w:pPr>
        <w:pStyle w:val="ListParagraph"/>
        <w:numPr>
          <w:ilvl w:val="0"/>
          <w:numId w:val="20"/>
        </w:numPr>
      </w:pPr>
      <w:r w:rsidRPr="00831279">
        <w:t>Loss of primary containment</w:t>
      </w:r>
    </w:p>
    <w:p w14:paraId="1F7FDEF7" w14:textId="77777777" w:rsidR="0029589C" w:rsidRPr="00831279" w:rsidRDefault="0029589C" w:rsidP="0035559C">
      <w:pPr>
        <w:pStyle w:val="ListParagraph"/>
        <w:numPr>
          <w:ilvl w:val="0"/>
          <w:numId w:val="20"/>
        </w:numPr>
      </w:pPr>
      <w:r>
        <w:t>Gas de</w:t>
      </w:r>
      <w:r w:rsidRPr="00831279">
        <w:t>hydration</w:t>
      </w:r>
    </w:p>
    <w:p w14:paraId="079967ED" w14:textId="77777777" w:rsidR="0029589C" w:rsidRPr="00831279" w:rsidRDefault="0029589C" w:rsidP="0035559C">
      <w:pPr>
        <w:pStyle w:val="ListParagraph"/>
        <w:numPr>
          <w:ilvl w:val="0"/>
          <w:numId w:val="20"/>
        </w:numPr>
      </w:pPr>
      <w:r w:rsidRPr="00831279">
        <w:t>Venting (</w:t>
      </w:r>
      <w:proofErr w:type="gramStart"/>
      <w:r w:rsidRPr="00831279">
        <w:t>e.g.</w:t>
      </w:r>
      <w:proofErr w:type="gramEnd"/>
      <w:r w:rsidRPr="00831279">
        <w:t xml:space="preserve"> casing head, gas separation)</w:t>
      </w:r>
    </w:p>
    <w:p w14:paraId="2334996F" w14:textId="77777777" w:rsidR="0029589C" w:rsidRPr="00831279" w:rsidRDefault="0029589C" w:rsidP="0035559C">
      <w:pPr>
        <w:pStyle w:val="ListParagraph"/>
        <w:numPr>
          <w:ilvl w:val="0"/>
          <w:numId w:val="20"/>
        </w:numPr>
      </w:pPr>
      <w:r w:rsidRPr="00831279">
        <w:t>Well completion</w:t>
      </w:r>
    </w:p>
    <w:p w14:paraId="33EF02DA" w14:textId="77777777" w:rsidR="0029589C" w:rsidRPr="00A61408" w:rsidRDefault="0029589C" w:rsidP="0029589C">
      <w:pPr>
        <w:rPr>
          <w:u w:val="single"/>
        </w:rPr>
      </w:pPr>
      <w:r w:rsidRPr="00A61408">
        <w:rPr>
          <w:u w:val="single"/>
        </w:rPr>
        <w:t>Combustion-related emissions</w:t>
      </w:r>
    </w:p>
    <w:p w14:paraId="734D42A1" w14:textId="77777777" w:rsidR="0029589C" w:rsidRPr="00831279" w:rsidRDefault="0029589C" w:rsidP="0035559C">
      <w:pPr>
        <w:pStyle w:val="ListParagraph"/>
        <w:numPr>
          <w:ilvl w:val="0"/>
          <w:numId w:val="9"/>
        </w:numPr>
        <w:spacing w:after="160" w:line="259" w:lineRule="auto"/>
      </w:pPr>
      <w:r w:rsidRPr="00831279">
        <w:t>Flaring</w:t>
      </w:r>
    </w:p>
    <w:p w14:paraId="760207BB" w14:textId="77777777" w:rsidR="0029589C" w:rsidRPr="00831279" w:rsidRDefault="0029589C" w:rsidP="0035559C">
      <w:pPr>
        <w:pStyle w:val="ListParagraph"/>
        <w:numPr>
          <w:ilvl w:val="0"/>
          <w:numId w:val="9"/>
        </w:numPr>
        <w:spacing w:after="160" w:line="259" w:lineRule="auto"/>
      </w:pPr>
      <w:r w:rsidRPr="00831279">
        <w:t xml:space="preserve">Stationary combustion sources, </w:t>
      </w:r>
      <w:proofErr w:type="gramStart"/>
      <w:r w:rsidRPr="00831279">
        <w:t>e.g.</w:t>
      </w:r>
      <w:proofErr w:type="gramEnd"/>
      <w:r w:rsidRPr="00831279">
        <w:t xml:space="preserve"> turbines</w:t>
      </w:r>
    </w:p>
    <w:p w14:paraId="46EF8AD8" w14:textId="77777777" w:rsidR="0029589C" w:rsidRDefault="0029589C" w:rsidP="0029589C">
      <w:pPr>
        <w:pStyle w:val="Heading2"/>
      </w:pPr>
      <w:r>
        <w:t>Establishing the target and ambition</w:t>
      </w:r>
    </w:p>
    <w:p w14:paraId="6EAE4853" w14:textId="77777777" w:rsidR="0029589C" w:rsidRDefault="0029589C" w:rsidP="0029589C">
      <w:r>
        <w:t xml:space="preserve">To support the establishment the OGCI methane emissions intensity target and ambition for 2025, methane emissions and marketed gas volumes for 2017 were collected for each company and a 2017 baseline was established for each company, as well as for OGCI collectively. Using their company-specific baseline emission intensities, companies then indicated an ambitious methane intensity level for the year 2025, </w:t>
      </w:r>
      <w:proofErr w:type="gramStart"/>
      <w:r>
        <w:t>assuming that</w:t>
      </w:r>
      <w:proofErr w:type="gramEnd"/>
      <w:r>
        <w:t xml:space="preserve"> 2017 marketed gas production volumes would be similar to those of </w:t>
      </w:r>
      <w:r>
        <w:lastRenderedPageBreak/>
        <w:t xml:space="preserve">2025. The OGCI members then defined an OGCI intensity target and ambition for 2025, </w:t>
      </w:r>
      <w:proofErr w:type="gramStart"/>
      <w:r>
        <w:t>taking into account</w:t>
      </w:r>
      <w:proofErr w:type="gramEnd"/>
      <w:r>
        <w:t xml:space="preserve"> the 2017 collective intensity baseline, as well as the ambitious emission intensity levels indicated by individual companies. </w:t>
      </w:r>
    </w:p>
    <w:p w14:paraId="2F197969" w14:textId="77777777" w:rsidR="0029589C" w:rsidRDefault="0029589C" w:rsidP="0029589C">
      <w:pPr>
        <w:pStyle w:val="Heading2"/>
      </w:pPr>
      <w:r w:rsidRPr="003C0419">
        <w:t>Upstream methane emissions reduction measures</w:t>
      </w:r>
    </w:p>
    <w:p w14:paraId="7F53824A" w14:textId="0FB23797" w:rsidR="0029589C" w:rsidRPr="00831279" w:rsidRDefault="001558B0" w:rsidP="0029589C">
      <w:pPr>
        <w:shd w:val="clear" w:color="auto" w:fill="FFFFFF"/>
        <w:rPr>
          <w:b/>
        </w:rPr>
      </w:pPr>
      <w:r>
        <w:t>OGCI member companies have submitted</w:t>
      </w:r>
      <w:r w:rsidR="0029589C">
        <w:t xml:space="preserve"> methane emission reduction measures </w:t>
      </w:r>
      <w:r w:rsidR="00EA587E">
        <w:t xml:space="preserve">that </w:t>
      </w:r>
      <w:r w:rsidR="0029589C">
        <w:t xml:space="preserve">were identified as enabling these companies, collectively, to move the OGCI emissions intensity towards the identified target and ambition levels by 2025. </w:t>
      </w:r>
      <w:r w:rsidR="0029589C" w:rsidRPr="00831279">
        <w:rPr>
          <w:rFonts w:eastAsia="Times New Roman" w:cstheme="minorHAnsi"/>
          <w:lang w:eastAsia="en-GB"/>
        </w:rPr>
        <w:t>To reduce the OGCI’s collective methane emissions intensity, member companies will target key emissions sources through a variety of measures</w:t>
      </w:r>
      <w:r w:rsidR="0029589C">
        <w:rPr>
          <w:rFonts w:eastAsia="Times New Roman" w:cstheme="minorHAnsi"/>
          <w:lang w:eastAsia="en-GB"/>
        </w:rPr>
        <w:t>, as appropriate</w:t>
      </w:r>
      <w:r w:rsidR="0029589C" w:rsidRPr="00831279">
        <w:rPr>
          <w:rFonts w:eastAsia="Times New Roman" w:cstheme="minorHAnsi"/>
          <w:lang w:eastAsia="en-GB"/>
        </w:rPr>
        <w:t>.</w:t>
      </w:r>
    </w:p>
    <w:p w14:paraId="41BA4639" w14:textId="77777777" w:rsidR="0029589C" w:rsidRDefault="0029589C" w:rsidP="0029589C">
      <w:pPr>
        <w:pStyle w:val="Heading2"/>
      </w:pPr>
      <w:r>
        <w:t>Data limitations</w:t>
      </w:r>
    </w:p>
    <w:p w14:paraId="2224BD91" w14:textId="274ABAE2" w:rsidR="0029589C" w:rsidRDefault="00EA587E" w:rsidP="0029589C">
      <w:r>
        <w:t>C</w:t>
      </w:r>
      <w:r w:rsidR="0029589C">
        <w:t xml:space="preserve">ompany and/or regulatory recording and reporting requirements for methane vary between and within OGCI companies and operating jurisdictions.  </w:t>
      </w:r>
    </w:p>
    <w:p w14:paraId="76893ABD" w14:textId="77777777" w:rsidR="0029589C" w:rsidRDefault="0029589C" w:rsidP="0029589C">
      <w:r>
        <w:t xml:space="preserve">All OGCI companies have internal routines for the gathering, quantification and reporting of methane emissions data, though the data coverage and granularity may vary from company to company. The OGCI member companies have, for the purpose of setting the baseline, </w:t>
      </w:r>
      <w:proofErr w:type="gramStart"/>
      <w:r>
        <w:t>target</w:t>
      </w:r>
      <w:proofErr w:type="gramEnd"/>
      <w:r>
        <w:t xml:space="preserve"> and ambition, agreed on the scope and boundaries for which the data shall apply. As part of this process, the OGCI companies have had to evaluate their own operations to determine if any gaps in data coverage and quality exist and then take steps to include all relevant sources and figures in the data supplied to the OGCI as part of the methane intensity, baseline, </w:t>
      </w:r>
      <w:proofErr w:type="gramStart"/>
      <w:r>
        <w:t>target</w:t>
      </w:r>
      <w:proofErr w:type="gramEnd"/>
      <w:r>
        <w:t xml:space="preserve"> and ambition establishment work. Similarly, companies have had to evaluate the applicability of methane quantification methods utilized for their own operations and update their methodologies as required.  </w:t>
      </w:r>
    </w:p>
    <w:p w14:paraId="099F676A" w14:textId="77777777" w:rsidR="0029589C" w:rsidRDefault="0029589C" w:rsidP="0029589C">
      <w:r>
        <w:t>For the OGCI to collectively increase confidence in the data used as the basis for the establishment of a methane emissions intensity baseline, target and ambition, all companies have provided an assessment of their own activities related to methane management and reporting (based upon the UN PRI Methane guide for investors). All companies also participated in follow-up interviews with an independent third party.</w:t>
      </w:r>
    </w:p>
    <w:p w14:paraId="434EFFA3" w14:textId="77777777" w:rsidR="0029589C" w:rsidRDefault="0029589C" w:rsidP="0029589C">
      <w:pPr>
        <w:pStyle w:val="Heading2"/>
      </w:pPr>
      <w:r>
        <w:t>Restatement of the baseline and previous year’s methane intensity</w:t>
      </w:r>
    </w:p>
    <w:p w14:paraId="48B1D78C" w14:textId="77777777" w:rsidR="0029589C" w:rsidRDefault="0029589C" w:rsidP="0029589C">
      <w:r>
        <w:t xml:space="preserve">If new companies join or leave the OGCI, the baseline may need to be re-estimated and revised </w:t>
      </w:r>
      <w:proofErr w:type="gramStart"/>
      <w:r>
        <w:t>as a result of</w:t>
      </w:r>
      <w:proofErr w:type="gramEnd"/>
      <w:r>
        <w:t xml:space="preserve"> these changes. However, the target itself will not be restated as new member companies will be expected to endorse the existing target. When individual companies’ methane emission quantification methodologies are updated (</w:t>
      </w:r>
      <w:proofErr w:type="gramStart"/>
      <w:r>
        <w:t>e.g.</w:t>
      </w:r>
      <w:proofErr w:type="gramEnd"/>
      <w:r>
        <w:t xml:space="preserve"> because of new regulatory emission factors, improvement of reporting processes, etc.), the emissions quantified using these updated methodologies shall also be used in connection with the OGCI intensity target tracking. Significant changes in the reported methane intensity performance linked to the update of reporting methodologies for one or multiple companies will be commented on in the annual OGCI report. </w:t>
      </w:r>
    </w:p>
    <w:p w14:paraId="69A6ECB3" w14:textId="77777777" w:rsidR="0029589C" w:rsidRDefault="0029589C" w:rsidP="0029589C">
      <w:pPr>
        <w:pStyle w:val="Heading2"/>
      </w:pPr>
      <w:r>
        <w:t>Assessment of data quality and accuracy</w:t>
      </w:r>
    </w:p>
    <w:p w14:paraId="75DACBD9" w14:textId="77777777" w:rsidR="003E661F" w:rsidRDefault="0029589C">
      <w:r>
        <w:t>The review and assessment process provided by an independent third party as part of the methane intensity baseline, target and ambition establishment process is important to ensuring that there is a common understanding within the OGCI regarding the overall quality and coverage associated with the methane emissions data.</w:t>
      </w:r>
    </w:p>
    <w:p w14:paraId="2DB62BE2" w14:textId="77777777" w:rsidR="00671434" w:rsidRDefault="00671434" w:rsidP="00671434">
      <w:pPr>
        <w:pStyle w:val="Heading2"/>
      </w:pPr>
      <w:r>
        <w:t>Co-Product Allocation</w:t>
      </w:r>
    </w:p>
    <w:p w14:paraId="40BE367F" w14:textId="375AF8AD" w:rsidR="00671434" w:rsidRPr="003E661F" w:rsidRDefault="00671434" w:rsidP="00671434">
      <w:r w:rsidRPr="003E661F">
        <w:t xml:space="preserve">The OGCI CH4 intensity target has been designed to guide ambition at </w:t>
      </w:r>
      <w:r w:rsidR="00032F79">
        <w:t xml:space="preserve">the </w:t>
      </w:r>
      <w:proofErr w:type="gramStart"/>
      <w:r w:rsidRPr="003E661F">
        <w:t>Corporate</w:t>
      </w:r>
      <w:proofErr w:type="gramEnd"/>
      <w:r w:rsidRPr="003E661F">
        <w:t xml:space="preserve"> level. </w:t>
      </w:r>
    </w:p>
    <w:p w14:paraId="5C3D8538" w14:textId="77777777" w:rsidR="00671434" w:rsidRPr="003E661F" w:rsidRDefault="00671434" w:rsidP="00671434">
      <w:r w:rsidRPr="003E661F">
        <w:t>At asset level, depending on the profile of production (</w:t>
      </w:r>
      <w:proofErr w:type="gramStart"/>
      <w:r w:rsidRPr="003E661F">
        <w:t>e.g.</w:t>
      </w:r>
      <w:proofErr w:type="gramEnd"/>
      <w:r w:rsidRPr="003E661F">
        <w:t xml:space="preserve"> oil and wet gas), operators may elect to choose energy allocation, in order to more accurately allocate emissions associate with oil production.</w:t>
      </w:r>
    </w:p>
    <w:p w14:paraId="3F2CA271" w14:textId="77777777" w:rsidR="00671434" w:rsidRPr="003E661F" w:rsidRDefault="00671434" w:rsidP="00671434">
      <w:r w:rsidRPr="003E661F">
        <w:t>To do so, OGCI member companies recommend the use of the energy allocation method to estimate CH4 performance of individual upstream assets / NG value chains, where a portion of total CH4 emissions is attributed to NG marketed production, based on the ratio of (1) energy equivalent of produced natural gas divided by (2) total energy equivalent from O&amp;G marketed production on the same asset. For additional guidance, please refer to the NGSI CH4 Emission Intensity Protocol (2021) reporting framework.</w:t>
      </w:r>
    </w:p>
    <w:p w14:paraId="34F420DF" w14:textId="4734E5D4" w:rsidR="007F4543" w:rsidRDefault="007F4543" w:rsidP="003E661F">
      <w:pPr>
        <w:pStyle w:val="Heading2"/>
        <w:numPr>
          <w:ilvl w:val="0"/>
          <w:numId w:val="0"/>
        </w:numPr>
      </w:pPr>
      <w:r w:rsidRPr="008A2404">
        <w:br w:type="page"/>
      </w:r>
    </w:p>
    <w:p w14:paraId="143B7665" w14:textId="22CE0A3A" w:rsidR="0029589C" w:rsidRDefault="00526FEA" w:rsidP="00526FEA">
      <w:pPr>
        <w:pStyle w:val="Heading1"/>
        <w:numPr>
          <w:ilvl w:val="0"/>
          <w:numId w:val="0"/>
        </w:numPr>
        <w:rPr>
          <w:lang w:eastAsia="fr-FR"/>
        </w:rPr>
      </w:pPr>
      <w:bookmarkStart w:id="18" w:name="_Toc97226722"/>
      <w:r>
        <w:rPr>
          <w:lang w:eastAsia="fr-FR"/>
        </w:rPr>
        <w:lastRenderedPageBreak/>
        <w:t>Appendix A – Acronyms and abbreviations</w:t>
      </w:r>
      <w:bookmarkEnd w:id="18"/>
    </w:p>
    <w:tbl>
      <w:tblPr>
        <w:tblStyle w:val="Grigliatabella1"/>
        <w:tblW w:w="8359" w:type="dxa"/>
        <w:jc w:val="center"/>
        <w:tblLayout w:type="fixed"/>
        <w:tblLook w:val="04A0" w:firstRow="1" w:lastRow="0" w:firstColumn="1" w:lastColumn="0" w:noHBand="0" w:noVBand="1"/>
      </w:tblPr>
      <w:tblGrid>
        <w:gridCol w:w="1809"/>
        <w:gridCol w:w="6550"/>
      </w:tblGrid>
      <w:tr w:rsidR="00526FEA" w:rsidRPr="00342DFA" w14:paraId="27025353" w14:textId="77777777" w:rsidTr="00CE523D">
        <w:trPr>
          <w:jc w:val="center"/>
        </w:trPr>
        <w:tc>
          <w:tcPr>
            <w:tcW w:w="1809" w:type="dxa"/>
            <w:vAlign w:val="center"/>
          </w:tcPr>
          <w:p w14:paraId="7C445AA1" w14:textId="77777777" w:rsidR="00526FEA" w:rsidRPr="00B07C95" w:rsidRDefault="00526FEA" w:rsidP="00CE523D">
            <w:pPr>
              <w:spacing w:before="60" w:after="60"/>
              <w:jc w:val="center"/>
              <w:rPr>
                <w:rFonts w:ascii="Calibri" w:hAnsi="Calibri" w:cs="Times New Roman"/>
                <w:szCs w:val="20"/>
                <w:lang w:val="en-GB"/>
              </w:rPr>
            </w:pPr>
            <w:r w:rsidRPr="00480950">
              <w:rPr>
                <w:rFonts w:ascii="Calibri" w:hAnsi="Calibri" w:cs="Times New Roman"/>
                <w:szCs w:val="20"/>
              </w:rPr>
              <w:t>API</w:t>
            </w:r>
          </w:p>
        </w:tc>
        <w:tc>
          <w:tcPr>
            <w:tcW w:w="6550" w:type="dxa"/>
            <w:vAlign w:val="center"/>
          </w:tcPr>
          <w:p w14:paraId="6555C8B9" w14:textId="77777777" w:rsidR="00526FEA" w:rsidRPr="00B07C95" w:rsidRDefault="00526FEA" w:rsidP="00CE523D">
            <w:pPr>
              <w:spacing w:before="60" w:after="60"/>
              <w:rPr>
                <w:rFonts w:ascii="Calibri" w:hAnsi="Calibri" w:cs="Times New Roman"/>
                <w:szCs w:val="20"/>
                <w:lang w:val="en-GB"/>
              </w:rPr>
            </w:pPr>
            <w:r w:rsidRPr="00480950">
              <w:rPr>
                <w:rFonts w:ascii="Calibri" w:hAnsi="Calibri" w:cs="Times New Roman"/>
                <w:szCs w:val="20"/>
              </w:rPr>
              <w:t>American Petroleum Institute</w:t>
            </w:r>
          </w:p>
        </w:tc>
      </w:tr>
      <w:tr w:rsidR="00526FEA" w:rsidRPr="00342DFA" w14:paraId="3ED34488" w14:textId="77777777" w:rsidTr="00CE523D">
        <w:trPr>
          <w:jc w:val="center"/>
        </w:trPr>
        <w:tc>
          <w:tcPr>
            <w:tcW w:w="1809" w:type="dxa"/>
            <w:vAlign w:val="center"/>
          </w:tcPr>
          <w:p w14:paraId="1F436322" w14:textId="77777777" w:rsidR="00526FEA" w:rsidRPr="00ED6F34" w:rsidRDefault="00526FEA" w:rsidP="00CE523D">
            <w:pPr>
              <w:spacing w:before="60" w:after="60"/>
              <w:jc w:val="center"/>
              <w:rPr>
                <w:rFonts w:ascii="Calibri" w:hAnsi="Calibri" w:cs="Times New Roman"/>
                <w:szCs w:val="20"/>
                <w:lang w:val="en-GB"/>
              </w:rPr>
            </w:pPr>
            <w:r w:rsidRPr="00ED6F34">
              <w:rPr>
                <w:rFonts w:ascii="Calibri" w:hAnsi="Calibri" w:cs="Times New Roman"/>
                <w:szCs w:val="20"/>
                <w:lang w:val="en-GB"/>
              </w:rPr>
              <w:t>CCAC</w:t>
            </w:r>
          </w:p>
        </w:tc>
        <w:tc>
          <w:tcPr>
            <w:tcW w:w="6550" w:type="dxa"/>
            <w:vAlign w:val="center"/>
          </w:tcPr>
          <w:p w14:paraId="773EC9DE" w14:textId="77777777" w:rsidR="00526FEA" w:rsidRPr="00B07C95" w:rsidRDefault="00526FEA" w:rsidP="00CE523D">
            <w:pPr>
              <w:spacing w:before="60" w:after="60"/>
              <w:rPr>
                <w:rFonts w:ascii="Calibri" w:hAnsi="Calibri" w:cs="Times New Roman"/>
                <w:szCs w:val="20"/>
                <w:lang w:val="en-GB"/>
              </w:rPr>
            </w:pPr>
            <w:r w:rsidRPr="00B07C95">
              <w:rPr>
                <w:rFonts w:ascii="Calibri" w:hAnsi="Calibri" w:cs="Times New Roman"/>
                <w:szCs w:val="20"/>
                <w:lang w:val="en-GB"/>
              </w:rPr>
              <w:t>Climate and Clean Air Coalition</w:t>
            </w:r>
          </w:p>
        </w:tc>
      </w:tr>
      <w:tr w:rsidR="00526FEA" w:rsidRPr="00342DFA" w14:paraId="4E83BE76" w14:textId="77777777" w:rsidTr="00CE523D">
        <w:trPr>
          <w:jc w:val="center"/>
        </w:trPr>
        <w:tc>
          <w:tcPr>
            <w:tcW w:w="1809" w:type="dxa"/>
            <w:vAlign w:val="center"/>
          </w:tcPr>
          <w:p w14:paraId="49F8EB0D" w14:textId="77777777" w:rsidR="00526FEA" w:rsidRPr="00ED6F34" w:rsidRDefault="00526FEA" w:rsidP="00CE523D">
            <w:pPr>
              <w:spacing w:before="60" w:after="60"/>
              <w:jc w:val="center"/>
              <w:rPr>
                <w:rFonts w:ascii="Calibri" w:hAnsi="Calibri" w:cs="Times New Roman"/>
                <w:szCs w:val="20"/>
                <w:lang w:val="en-GB"/>
              </w:rPr>
            </w:pPr>
            <w:r w:rsidRPr="00ED6F34">
              <w:rPr>
                <w:rFonts w:ascii="Calibri" w:hAnsi="Calibri" w:cs="Times New Roman"/>
                <w:szCs w:val="20"/>
                <w:lang w:val="en-GB"/>
              </w:rPr>
              <w:t>CO</w:t>
            </w:r>
            <w:r w:rsidRPr="00ED6F34">
              <w:rPr>
                <w:rFonts w:ascii="Calibri" w:hAnsi="Calibri" w:cs="Times New Roman"/>
                <w:szCs w:val="20"/>
                <w:vertAlign w:val="subscript"/>
                <w:lang w:val="en-GB"/>
              </w:rPr>
              <w:t>2</w:t>
            </w:r>
          </w:p>
        </w:tc>
        <w:tc>
          <w:tcPr>
            <w:tcW w:w="6550" w:type="dxa"/>
            <w:vAlign w:val="center"/>
          </w:tcPr>
          <w:p w14:paraId="6D5E1CCC" w14:textId="77777777" w:rsidR="00526FEA" w:rsidRPr="00ED6F34" w:rsidRDefault="00526FEA" w:rsidP="00CE523D">
            <w:pPr>
              <w:spacing w:before="60" w:after="60"/>
              <w:rPr>
                <w:rFonts w:ascii="Calibri" w:hAnsi="Calibri" w:cs="Times New Roman"/>
                <w:szCs w:val="20"/>
                <w:lang w:val="en-GB"/>
              </w:rPr>
            </w:pPr>
            <w:r w:rsidRPr="00ED6F34">
              <w:rPr>
                <w:rFonts w:ascii="Calibri" w:hAnsi="Calibri" w:cs="Times New Roman"/>
                <w:szCs w:val="20"/>
                <w:lang w:val="en-GB"/>
              </w:rPr>
              <w:t>Carbon dioxide</w:t>
            </w:r>
          </w:p>
        </w:tc>
      </w:tr>
      <w:tr w:rsidR="00526FEA" w:rsidRPr="00342DFA" w14:paraId="5C3D7D75" w14:textId="77777777" w:rsidTr="00CE523D">
        <w:trPr>
          <w:jc w:val="center"/>
        </w:trPr>
        <w:tc>
          <w:tcPr>
            <w:tcW w:w="1809" w:type="dxa"/>
            <w:vAlign w:val="center"/>
          </w:tcPr>
          <w:p w14:paraId="2F2E948D" w14:textId="77777777" w:rsidR="00526FEA" w:rsidRPr="00ED6F34" w:rsidRDefault="00526FEA" w:rsidP="00CE523D">
            <w:pPr>
              <w:spacing w:before="60" w:after="60"/>
              <w:jc w:val="center"/>
              <w:rPr>
                <w:rFonts w:ascii="Calibri" w:hAnsi="Calibri" w:cs="Times New Roman"/>
                <w:szCs w:val="20"/>
                <w:lang w:val="en-GB"/>
              </w:rPr>
            </w:pPr>
            <w:r w:rsidRPr="00ED6F34">
              <w:rPr>
                <w:rFonts w:ascii="Calibri" w:hAnsi="Calibri" w:cs="Times New Roman"/>
                <w:szCs w:val="20"/>
                <w:lang w:val="en-GB"/>
              </w:rPr>
              <w:t>CO</w:t>
            </w:r>
            <w:r w:rsidRPr="00ED6F34">
              <w:rPr>
                <w:rFonts w:ascii="Calibri" w:hAnsi="Calibri" w:cs="Times New Roman"/>
                <w:szCs w:val="20"/>
                <w:vertAlign w:val="subscript"/>
                <w:lang w:val="en-GB"/>
              </w:rPr>
              <w:t>2e</w:t>
            </w:r>
          </w:p>
        </w:tc>
        <w:tc>
          <w:tcPr>
            <w:tcW w:w="6550" w:type="dxa"/>
            <w:vAlign w:val="center"/>
          </w:tcPr>
          <w:p w14:paraId="2905BD57" w14:textId="77777777" w:rsidR="00526FEA" w:rsidRPr="00ED6F34" w:rsidRDefault="00526FEA" w:rsidP="00CE523D">
            <w:pPr>
              <w:spacing w:before="60" w:after="60"/>
              <w:rPr>
                <w:rFonts w:ascii="Calibri" w:hAnsi="Calibri" w:cs="Times New Roman"/>
                <w:szCs w:val="20"/>
                <w:lang w:val="en-GB"/>
              </w:rPr>
            </w:pPr>
            <w:r w:rsidRPr="00ED6F34">
              <w:rPr>
                <w:rFonts w:ascii="Calibri" w:hAnsi="Calibri" w:cs="Times New Roman"/>
                <w:szCs w:val="20"/>
                <w:lang w:val="en-GB"/>
              </w:rPr>
              <w:t>Carbon dioxide equivalent</w:t>
            </w:r>
          </w:p>
        </w:tc>
      </w:tr>
      <w:tr w:rsidR="00526FEA" w:rsidRPr="00342DFA" w14:paraId="3F716146" w14:textId="77777777" w:rsidTr="00CE523D">
        <w:trPr>
          <w:jc w:val="center"/>
        </w:trPr>
        <w:tc>
          <w:tcPr>
            <w:tcW w:w="1809" w:type="dxa"/>
            <w:vAlign w:val="center"/>
          </w:tcPr>
          <w:p w14:paraId="3E02DCF4" w14:textId="77777777" w:rsidR="00526FEA" w:rsidRPr="00ED6F34" w:rsidRDefault="00526FEA" w:rsidP="00CE523D">
            <w:pPr>
              <w:spacing w:before="60" w:after="60"/>
              <w:jc w:val="center"/>
              <w:rPr>
                <w:rFonts w:ascii="Calibri" w:hAnsi="Calibri" w:cs="Times New Roman"/>
                <w:szCs w:val="20"/>
                <w:lang w:val="en-GB"/>
              </w:rPr>
            </w:pPr>
            <w:r w:rsidRPr="00ED6F34">
              <w:rPr>
                <w:rFonts w:ascii="Calibri" w:hAnsi="Calibri" w:cs="Times New Roman"/>
                <w:szCs w:val="20"/>
                <w:lang w:val="en-GB"/>
              </w:rPr>
              <w:t>GHG</w:t>
            </w:r>
          </w:p>
        </w:tc>
        <w:tc>
          <w:tcPr>
            <w:tcW w:w="6550" w:type="dxa"/>
            <w:vAlign w:val="center"/>
          </w:tcPr>
          <w:p w14:paraId="0EE34241" w14:textId="77777777" w:rsidR="00526FEA" w:rsidRPr="00ED6F34" w:rsidRDefault="00526FEA" w:rsidP="00CE523D">
            <w:pPr>
              <w:spacing w:before="60" w:after="60"/>
              <w:rPr>
                <w:rFonts w:ascii="Calibri" w:hAnsi="Calibri" w:cs="Times New Roman"/>
                <w:szCs w:val="20"/>
                <w:lang w:val="en-GB"/>
              </w:rPr>
            </w:pPr>
            <w:r w:rsidRPr="00ED6F34">
              <w:rPr>
                <w:rFonts w:ascii="Calibri" w:hAnsi="Calibri" w:cs="Times New Roman"/>
                <w:szCs w:val="20"/>
                <w:lang w:val="en-GB"/>
              </w:rPr>
              <w:t>Greenhouse gas</w:t>
            </w:r>
          </w:p>
        </w:tc>
      </w:tr>
      <w:tr w:rsidR="00526FEA" w:rsidRPr="00342DFA" w14:paraId="56F640A3" w14:textId="77777777" w:rsidTr="00CE523D">
        <w:trPr>
          <w:jc w:val="center"/>
        </w:trPr>
        <w:tc>
          <w:tcPr>
            <w:tcW w:w="1809" w:type="dxa"/>
            <w:vAlign w:val="center"/>
          </w:tcPr>
          <w:p w14:paraId="7BAD93F7" w14:textId="77777777" w:rsidR="00526FEA" w:rsidRPr="00ED6F34" w:rsidRDefault="00526FEA" w:rsidP="00CE523D">
            <w:pPr>
              <w:spacing w:before="60" w:after="60"/>
              <w:jc w:val="center"/>
              <w:rPr>
                <w:rFonts w:ascii="Calibri" w:hAnsi="Calibri" w:cs="Times New Roman"/>
                <w:szCs w:val="20"/>
                <w:lang w:val="en-GB"/>
              </w:rPr>
            </w:pPr>
            <w:r w:rsidRPr="00ED6F34">
              <w:rPr>
                <w:rFonts w:ascii="Calibri" w:hAnsi="Calibri" w:cs="Times New Roman"/>
                <w:szCs w:val="20"/>
                <w:lang w:val="en-GB"/>
              </w:rPr>
              <w:t>GWP</w:t>
            </w:r>
          </w:p>
        </w:tc>
        <w:tc>
          <w:tcPr>
            <w:tcW w:w="6550" w:type="dxa"/>
            <w:vAlign w:val="center"/>
          </w:tcPr>
          <w:p w14:paraId="4D126D41" w14:textId="77777777" w:rsidR="00526FEA" w:rsidRPr="00ED6F34" w:rsidRDefault="00526FEA" w:rsidP="00CE523D">
            <w:pPr>
              <w:spacing w:before="60" w:after="60"/>
              <w:rPr>
                <w:rFonts w:ascii="Calibri" w:hAnsi="Calibri" w:cs="Times New Roman"/>
                <w:szCs w:val="20"/>
                <w:lang w:val="en-GB"/>
              </w:rPr>
            </w:pPr>
            <w:r w:rsidRPr="00ED6F34">
              <w:rPr>
                <w:rFonts w:ascii="Calibri" w:hAnsi="Calibri" w:cs="Times New Roman"/>
                <w:szCs w:val="20"/>
                <w:lang w:val="en-GB"/>
              </w:rPr>
              <w:t>Global Warming Potential</w:t>
            </w:r>
          </w:p>
        </w:tc>
      </w:tr>
      <w:tr w:rsidR="00270368" w:rsidRPr="00342DFA" w14:paraId="36E74C64" w14:textId="77777777" w:rsidTr="00CE523D">
        <w:trPr>
          <w:jc w:val="center"/>
        </w:trPr>
        <w:tc>
          <w:tcPr>
            <w:tcW w:w="1809" w:type="dxa"/>
            <w:vAlign w:val="center"/>
          </w:tcPr>
          <w:p w14:paraId="1427F3A8" w14:textId="002FBDAD" w:rsidR="00270368" w:rsidRPr="00ED6F34" w:rsidRDefault="00270368" w:rsidP="00CE523D">
            <w:pPr>
              <w:spacing w:before="60" w:after="60"/>
              <w:jc w:val="center"/>
              <w:rPr>
                <w:rFonts w:ascii="Calibri" w:hAnsi="Calibri" w:cs="Times New Roman"/>
                <w:szCs w:val="20"/>
              </w:rPr>
            </w:pPr>
            <w:r>
              <w:rPr>
                <w:rFonts w:ascii="Calibri" w:hAnsi="Calibri" w:cs="Times New Roman"/>
                <w:szCs w:val="20"/>
              </w:rPr>
              <w:t>HHV</w:t>
            </w:r>
          </w:p>
        </w:tc>
        <w:tc>
          <w:tcPr>
            <w:tcW w:w="6550" w:type="dxa"/>
            <w:vAlign w:val="center"/>
          </w:tcPr>
          <w:p w14:paraId="5BBB2E2D" w14:textId="4FE5B53F" w:rsidR="00270368" w:rsidRPr="00ED6F34" w:rsidRDefault="00270368" w:rsidP="00CE523D">
            <w:pPr>
              <w:spacing w:before="60" w:after="60"/>
              <w:rPr>
                <w:rFonts w:ascii="Calibri" w:hAnsi="Calibri" w:cs="Times New Roman"/>
                <w:szCs w:val="20"/>
              </w:rPr>
            </w:pPr>
            <w:proofErr w:type="spellStart"/>
            <w:r w:rsidRPr="00270368">
              <w:rPr>
                <w:rFonts w:ascii="Calibri" w:hAnsi="Calibri" w:cs="Times New Roman"/>
                <w:szCs w:val="20"/>
              </w:rPr>
              <w:t>Higher</w:t>
            </w:r>
            <w:proofErr w:type="spellEnd"/>
            <w:r w:rsidRPr="00270368">
              <w:rPr>
                <w:rFonts w:ascii="Calibri" w:hAnsi="Calibri" w:cs="Times New Roman"/>
                <w:szCs w:val="20"/>
              </w:rPr>
              <w:t xml:space="preserve"> </w:t>
            </w:r>
            <w:proofErr w:type="spellStart"/>
            <w:r>
              <w:rPr>
                <w:rFonts w:ascii="Calibri" w:hAnsi="Calibri" w:cs="Times New Roman"/>
                <w:szCs w:val="20"/>
              </w:rPr>
              <w:t>H</w:t>
            </w:r>
            <w:r w:rsidRPr="00270368">
              <w:rPr>
                <w:rFonts w:ascii="Calibri" w:hAnsi="Calibri" w:cs="Times New Roman"/>
                <w:szCs w:val="20"/>
              </w:rPr>
              <w:t>eating</w:t>
            </w:r>
            <w:proofErr w:type="spellEnd"/>
            <w:r w:rsidRPr="00270368">
              <w:rPr>
                <w:rFonts w:ascii="Calibri" w:hAnsi="Calibri" w:cs="Times New Roman"/>
                <w:szCs w:val="20"/>
              </w:rPr>
              <w:t xml:space="preserve"> </w:t>
            </w:r>
            <w:r>
              <w:rPr>
                <w:rFonts w:ascii="Calibri" w:hAnsi="Calibri" w:cs="Times New Roman"/>
                <w:szCs w:val="20"/>
              </w:rPr>
              <w:t>V</w:t>
            </w:r>
            <w:r w:rsidRPr="00270368">
              <w:rPr>
                <w:rFonts w:ascii="Calibri" w:hAnsi="Calibri" w:cs="Times New Roman"/>
                <w:szCs w:val="20"/>
              </w:rPr>
              <w:t>alue</w:t>
            </w:r>
          </w:p>
        </w:tc>
      </w:tr>
      <w:tr w:rsidR="00270368" w:rsidRPr="00342DFA" w14:paraId="46AE17A9" w14:textId="77777777" w:rsidTr="00CE523D">
        <w:trPr>
          <w:jc w:val="center"/>
        </w:trPr>
        <w:tc>
          <w:tcPr>
            <w:tcW w:w="1809" w:type="dxa"/>
            <w:vAlign w:val="center"/>
          </w:tcPr>
          <w:p w14:paraId="4DD80B5E" w14:textId="37D615CC" w:rsidR="00270368" w:rsidRPr="00ED6F34" w:rsidRDefault="00270368" w:rsidP="00CE523D">
            <w:pPr>
              <w:spacing w:before="60" w:after="60"/>
              <w:jc w:val="center"/>
              <w:rPr>
                <w:rFonts w:ascii="Calibri" w:hAnsi="Calibri" w:cs="Times New Roman"/>
                <w:szCs w:val="20"/>
              </w:rPr>
            </w:pPr>
            <w:r>
              <w:rPr>
                <w:rFonts w:ascii="Calibri" w:hAnsi="Calibri" w:cs="Times New Roman"/>
                <w:szCs w:val="20"/>
              </w:rPr>
              <w:t>IEA</w:t>
            </w:r>
          </w:p>
        </w:tc>
        <w:tc>
          <w:tcPr>
            <w:tcW w:w="6550" w:type="dxa"/>
            <w:vAlign w:val="center"/>
          </w:tcPr>
          <w:p w14:paraId="7438EB77" w14:textId="1B408ACE" w:rsidR="00270368" w:rsidRPr="00ED6F34" w:rsidRDefault="00270368" w:rsidP="00CE523D">
            <w:pPr>
              <w:spacing w:before="60" w:after="60"/>
              <w:rPr>
                <w:rFonts w:ascii="Calibri" w:hAnsi="Calibri" w:cs="Times New Roman"/>
                <w:szCs w:val="20"/>
              </w:rPr>
            </w:pPr>
            <w:r>
              <w:rPr>
                <w:rFonts w:ascii="Calibri" w:hAnsi="Calibri" w:cs="Times New Roman"/>
                <w:szCs w:val="20"/>
              </w:rPr>
              <w:t>International Energy Agency</w:t>
            </w:r>
          </w:p>
        </w:tc>
      </w:tr>
      <w:tr w:rsidR="00526FEA" w:rsidRPr="00342DFA" w14:paraId="06D679AB" w14:textId="77777777" w:rsidTr="00CE523D">
        <w:trPr>
          <w:jc w:val="center"/>
        </w:trPr>
        <w:tc>
          <w:tcPr>
            <w:tcW w:w="1809" w:type="dxa"/>
            <w:vAlign w:val="center"/>
          </w:tcPr>
          <w:p w14:paraId="401A87E1" w14:textId="77777777" w:rsidR="00526FEA" w:rsidRPr="00ED6F34" w:rsidRDefault="00526FEA" w:rsidP="00CE523D">
            <w:pPr>
              <w:spacing w:before="60" w:after="60"/>
              <w:jc w:val="center"/>
              <w:rPr>
                <w:rFonts w:ascii="Calibri" w:hAnsi="Calibri" w:cs="Times New Roman"/>
                <w:szCs w:val="20"/>
                <w:lang w:val="en-GB"/>
              </w:rPr>
            </w:pPr>
            <w:r w:rsidRPr="00ED6F34">
              <w:rPr>
                <w:rFonts w:ascii="Calibri" w:hAnsi="Calibri" w:cs="Times New Roman"/>
                <w:szCs w:val="20"/>
                <w:lang w:val="en-GB"/>
              </w:rPr>
              <w:t>IFC</w:t>
            </w:r>
          </w:p>
        </w:tc>
        <w:tc>
          <w:tcPr>
            <w:tcW w:w="6550" w:type="dxa"/>
            <w:vAlign w:val="center"/>
          </w:tcPr>
          <w:p w14:paraId="54DB9456" w14:textId="77777777" w:rsidR="00526FEA" w:rsidRPr="00ED6F34" w:rsidRDefault="00526FEA" w:rsidP="00CE523D">
            <w:pPr>
              <w:spacing w:before="60" w:after="60"/>
              <w:rPr>
                <w:rFonts w:ascii="Calibri" w:hAnsi="Calibri" w:cs="Times New Roman"/>
                <w:szCs w:val="20"/>
                <w:lang w:val="en-GB"/>
              </w:rPr>
            </w:pPr>
            <w:r w:rsidRPr="00ED6F34">
              <w:rPr>
                <w:rFonts w:ascii="Calibri" w:hAnsi="Calibri" w:cs="Times New Roman"/>
                <w:szCs w:val="20"/>
                <w:lang w:val="en-GB"/>
              </w:rPr>
              <w:t>International Finance Corporation</w:t>
            </w:r>
          </w:p>
        </w:tc>
      </w:tr>
      <w:tr w:rsidR="00270368" w:rsidRPr="00ED6F34" w14:paraId="37B3F5F7" w14:textId="77777777" w:rsidTr="00A53C9E">
        <w:trPr>
          <w:jc w:val="center"/>
        </w:trPr>
        <w:tc>
          <w:tcPr>
            <w:tcW w:w="1809" w:type="dxa"/>
            <w:vAlign w:val="center"/>
          </w:tcPr>
          <w:p w14:paraId="5824D0D6" w14:textId="77777777" w:rsidR="00270368" w:rsidRPr="00ED6F34" w:rsidRDefault="00270368" w:rsidP="00A53C9E">
            <w:pPr>
              <w:spacing w:before="60" w:after="60"/>
              <w:jc w:val="center"/>
              <w:rPr>
                <w:rFonts w:ascii="Calibri" w:hAnsi="Calibri" w:cs="Times New Roman"/>
                <w:szCs w:val="20"/>
                <w:lang w:val="en-GB"/>
              </w:rPr>
            </w:pPr>
            <w:r w:rsidRPr="00ED6F34">
              <w:rPr>
                <w:rFonts w:ascii="Calibri" w:hAnsi="Calibri" w:cs="Times New Roman"/>
                <w:szCs w:val="20"/>
                <w:lang w:val="en-GB"/>
              </w:rPr>
              <w:t>IOGP</w:t>
            </w:r>
          </w:p>
        </w:tc>
        <w:tc>
          <w:tcPr>
            <w:tcW w:w="6550" w:type="dxa"/>
            <w:vAlign w:val="center"/>
          </w:tcPr>
          <w:p w14:paraId="176C7AE9" w14:textId="77777777" w:rsidR="00270368" w:rsidRPr="00ED6F34" w:rsidRDefault="00270368" w:rsidP="00A53C9E">
            <w:pPr>
              <w:spacing w:before="60" w:after="60"/>
              <w:rPr>
                <w:rFonts w:ascii="Calibri" w:hAnsi="Calibri" w:cs="Times New Roman"/>
                <w:szCs w:val="20"/>
                <w:lang w:val="en-GB"/>
              </w:rPr>
            </w:pPr>
            <w:r w:rsidRPr="00ED6F34">
              <w:rPr>
                <w:rFonts w:ascii="Calibri" w:hAnsi="Calibri" w:cs="Times New Roman"/>
                <w:szCs w:val="20"/>
                <w:lang w:val="en-GB"/>
              </w:rPr>
              <w:t>International Oil &amp; Gas Producers</w:t>
            </w:r>
          </w:p>
        </w:tc>
      </w:tr>
      <w:tr w:rsidR="00526FEA" w:rsidRPr="00342DFA" w14:paraId="27022517" w14:textId="77777777" w:rsidTr="00CE523D">
        <w:trPr>
          <w:jc w:val="center"/>
        </w:trPr>
        <w:tc>
          <w:tcPr>
            <w:tcW w:w="1809" w:type="dxa"/>
            <w:vAlign w:val="center"/>
          </w:tcPr>
          <w:p w14:paraId="6D06411A" w14:textId="77777777" w:rsidR="00526FEA" w:rsidRPr="00ED6F34" w:rsidRDefault="00526FEA" w:rsidP="00CE523D">
            <w:pPr>
              <w:spacing w:before="60" w:after="60"/>
              <w:jc w:val="center"/>
              <w:rPr>
                <w:rFonts w:ascii="Calibri" w:hAnsi="Calibri" w:cs="Times New Roman"/>
                <w:szCs w:val="20"/>
                <w:lang w:val="en-GB"/>
              </w:rPr>
            </w:pPr>
            <w:r w:rsidRPr="00ED6F34">
              <w:rPr>
                <w:rFonts w:ascii="Calibri" w:hAnsi="Calibri" w:cs="Times New Roman"/>
                <w:szCs w:val="20"/>
                <w:lang w:val="en-GB"/>
              </w:rPr>
              <w:t>IPCC</w:t>
            </w:r>
          </w:p>
        </w:tc>
        <w:tc>
          <w:tcPr>
            <w:tcW w:w="6550" w:type="dxa"/>
            <w:vAlign w:val="center"/>
          </w:tcPr>
          <w:p w14:paraId="23FC7430" w14:textId="77777777" w:rsidR="00526FEA" w:rsidRPr="00ED6F34" w:rsidRDefault="00526FEA" w:rsidP="00CE523D">
            <w:pPr>
              <w:spacing w:before="60" w:after="60"/>
              <w:rPr>
                <w:rFonts w:ascii="Calibri" w:hAnsi="Calibri" w:cs="Times New Roman"/>
                <w:szCs w:val="20"/>
                <w:lang w:val="en-GB"/>
              </w:rPr>
            </w:pPr>
            <w:r w:rsidRPr="00ED6F34">
              <w:rPr>
                <w:rFonts w:ascii="Calibri" w:hAnsi="Calibri" w:cs="Times New Roman"/>
                <w:szCs w:val="20"/>
                <w:lang w:val="en-GB"/>
              </w:rPr>
              <w:t>Intergovernmental Panel on Climate Change</w:t>
            </w:r>
          </w:p>
        </w:tc>
      </w:tr>
      <w:tr w:rsidR="00526FEA" w:rsidRPr="00342DFA" w14:paraId="59220469" w14:textId="77777777" w:rsidTr="00CE523D">
        <w:trPr>
          <w:jc w:val="center"/>
        </w:trPr>
        <w:tc>
          <w:tcPr>
            <w:tcW w:w="1809" w:type="dxa"/>
            <w:vAlign w:val="center"/>
          </w:tcPr>
          <w:p w14:paraId="18559A0E" w14:textId="77777777" w:rsidR="00526FEA" w:rsidRPr="00ED6F34" w:rsidRDefault="00526FEA" w:rsidP="00CE523D">
            <w:pPr>
              <w:spacing w:before="60" w:after="60"/>
              <w:jc w:val="center"/>
              <w:rPr>
                <w:rFonts w:ascii="Calibri" w:hAnsi="Calibri" w:cs="Times New Roman"/>
                <w:szCs w:val="20"/>
                <w:lang w:val="en-GB"/>
              </w:rPr>
            </w:pPr>
            <w:r w:rsidRPr="00ED6F34">
              <w:rPr>
                <w:rFonts w:ascii="Calibri" w:hAnsi="Calibri" w:cs="Times New Roman"/>
                <w:szCs w:val="20"/>
                <w:lang w:val="en-GB"/>
              </w:rPr>
              <w:t>IPIECA</w:t>
            </w:r>
          </w:p>
        </w:tc>
        <w:tc>
          <w:tcPr>
            <w:tcW w:w="6550" w:type="dxa"/>
            <w:vAlign w:val="center"/>
          </w:tcPr>
          <w:p w14:paraId="2703D57E" w14:textId="77777777" w:rsidR="00526FEA" w:rsidRPr="00ED6F34" w:rsidRDefault="00526FEA" w:rsidP="00CE523D">
            <w:pPr>
              <w:spacing w:before="60" w:after="60"/>
              <w:rPr>
                <w:rFonts w:ascii="Calibri" w:hAnsi="Calibri" w:cs="Times New Roman"/>
                <w:szCs w:val="20"/>
                <w:lang w:val="en-GB"/>
              </w:rPr>
            </w:pPr>
            <w:r w:rsidRPr="00ED6F34">
              <w:rPr>
                <w:rFonts w:ascii="Calibri" w:hAnsi="Calibri" w:cs="Times New Roman"/>
                <w:szCs w:val="20"/>
                <w:lang w:val="en-GB"/>
              </w:rPr>
              <w:t>International Petroleum Industry Environmental Conservation Association</w:t>
            </w:r>
          </w:p>
        </w:tc>
      </w:tr>
      <w:tr w:rsidR="00526FEA" w:rsidRPr="00342DFA" w14:paraId="0250412D" w14:textId="77777777" w:rsidTr="00CE523D">
        <w:trPr>
          <w:jc w:val="center"/>
        </w:trPr>
        <w:tc>
          <w:tcPr>
            <w:tcW w:w="1809" w:type="dxa"/>
            <w:vAlign w:val="center"/>
          </w:tcPr>
          <w:p w14:paraId="09100E7C" w14:textId="77777777" w:rsidR="00526FEA" w:rsidRPr="00ED6F34" w:rsidRDefault="00526FEA" w:rsidP="00CE523D">
            <w:pPr>
              <w:spacing w:before="60" w:after="60"/>
              <w:jc w:val="center"/>
              <w:rPr>
                <w:rFonts w:ascii="Calibri" w:hAnsi="Calibri" w:cs="Times New Roman"/>
                <w:szCs w:val="20"/>
                <w:lang w:val="en-GB"/>
              </w:rPr>
            </w:pPr>
            <w:r w:rsidRPr="00ED6F34">
              <w:rPr>
                <w:rFonts w:ascii="Calibri" w:hAnsi="Calibri" w:cs="Times New Roman"/>
                <w:szCs w:val="20"/>
                <w:lang w:val="en-GB"/>
              </w:rPr>
              <w:t>kWh</w:t>
            </w:r>
          </w:p>
        </w:tc>
        <w:tc>
          <w:tcPr>
            <w:tcW w:w="6550" w:type="dxa"/>
            <w:vAlign w:val="center"/>
          </w:tcPr>
          <w:p w14:paraId="48085276" w14:textId="77777777" w:rsidR="00526FEA" w:rsidRPr="00ED6F34" w:rsidRDefault="00526FEA" w:rsidP="00CE523D">
            <w:pPr>
              <w:spacing w:before="60" w:after="60"/>
              <w:rPr>
                <w:rFonts w:ascii="Calibri" w:hAnsi="Calibri" w:cs="Times New Roman"/>
                <w:szCs w:val="20"/>
                <w:lang w:val="en-GB"/>
              </w:rPr>
            </w:pPr>
            <w:r w:rsidRPr="00ED6F34">
              <w:rPr>
                <w:rFonts w:ascii="Calibri" w:hAnsi="Calibri" w:cs="Times New Roman"/>
                <w:szCs w:val="20"/>
                <w:lang w:val="en-GB"/>
              </w:rPr>
              <w:t>Kilowatt-hour</w:t>
            </w:r>
          </w:p>
        </w:tc>
      </w:tr>
      <w:tr w:rsidR="00270368" w:rsidRPr="00342DFA" w14:paraId="790DFB17" w14:textId="77777777" w:rsidTr="00CE523D">
        <w:trPr>
          <w:jc w:val="center"/>
        </w:trPr>
        <w:tc>
          <w:tcPr>
            <w:tcW w:w="1809" w:type="dxa"/>
            <w:vAlign w:val="center"/>
          </w:tcPr>
          <w:p w14:paraId="0A45507A" w14:textId="5E6CD0A2" w:rsidR="00270368" w:rsidRPr="00ED6F34" w:rsidRDefault="00270368" w:rsidP="00CE523D">
            <w:pPr>
              <w:spacing w:before="60" w:after="60"/>
              <w:jc w:val="center"/>
              <w:rPr>
                <w:rFonts w:ascii="Calibri" w:hAnsi="Calibri" w:cs="Times New Roman"/>
                <w:szCs w:val="20"/>
              </w:rPr>
            </w:pPr>
            <w:r>
              <w:rPr>
                <w:rFonts w:ascii="Calibri" w:hAnsi="Calibri" w:cs="Times New Roman"/>
                <w:szCs w:val="20"/>
              </w:rPr>
              <w:t>LHV</w:t>
            </w:r>
          </w:p>
        </w:tc>
        <w:tc>
          <w:tcPr>
            <w:tcW w:w="6550" w:type="dxa"/>
            <w:vAlign w:val="center"/>
          </w:tcPr>
          <w:p w14:paraId="202CFDB6" w14:textId="27C68CA7" w:rsidR="00270368" w:rsidRPr="00ED6F34" w:rsidDel="00270368" w:rsidRDefault="00270368" w:rsidP="00CE523D">
            <w:pPr>
              <w:spacing w:before="60" w:after="60"/>
              <w:rPr>
                <w:rFonts w:ascii="Calibri" w:hAnsi="Calibri" w:cs="Times New Roman"/>
                <w:szCs w:val="20"/>
              </w:rPr>
            </w:pPr>
            <w:proofErr w:type="spellStart"/>
            <w:r>
              <w:rPr>
                <w:rFonts w:ascii="Calibri" w:hAnsi="Calibri" w:cs="Times New Roman"/>
                <w:szCs w:val="20"/>
              </w:rPr>
              <w:t>Lower</w:t>
            </w:r>
            <w:proofErr w:type="spellEnd"/>
            <w:r>
              <w:rPr>
                <w:rFonts w:ascii="Calibri" w:hAnsi="Calibri" w:cs="Times New Roman"/>
                <w:szCs w:val="20"/>
              </w:rPr>
              <w:t xml:space="preserve"> </w:t>
            </w:r>
            <w:proofErr w:type="spellStart"/>
            <w:r>
              <w:rPr>
                <w:rFonts w:ascii="Calibri" w:hAnsi="Calibri" w:cs="Times New Roman"/>
                <w:szCs w:val="20"/>
              </w:rPr>
              <w:t>Heating</w:t>
            </w:r>
            <w:proofErr w:type="spellEnd"/>
            <w:r>
              <w:rPr>
                <w:rFonts w:ascii="Calibri" w:hAnsi="Calibri" w:cs="Times New Roman"/>
                <w:szCs w:val="20"/>
              </w:rPr>
              <w:t xml:space="preserve"> Value</w:t>
            </w:r>
          </w:p>
        </w:tc>
      </w:tr>
      <w:tr w:rsidR="00526FEA" w:rsidRPr="00342DFA" w14:paraId="45CA08B1" w14:textId="77777777" w:rsidTr="00CE523D">
        <w:trPr>
          <w:jc w:val="center"/>
        </w:trPr>
        <w:tc>
          <w:tcPr>
            <w:tcW w:w="1809" w:type="dxa"/>
            <w:vAlign w:val="center"/>
          </w:tcPr>
          <w:p w14:paraId="5BE119B0" w14:textId="77777777" w:rsidR="00526FEA" w:rsidRPr="00ED6F34" w:rsidRDefault="00526FEA" w:rsidP="00CE523D">
            <w:pPr>
              <w:spacing w:before="60" w:after="60"/>
              <w:jc w:val="center"/>
              <w:rPr>
                <w:rFonts w:ascii="Calibri" w:hAnsi="Calibri" w:cs="Times New Roman"/>
                <w:szCs w:val="20"/>
                <w:lang w:val="en-GB"/>
              </w:rPr>
            </w:pPr>
            <w:r w:rsidRPr="00ED6F34">
              <w:rPr>
                <w:rFonts w:ascii="Calibri" w:hAnsi="Calibri" w:cs="Times New Roman"/>
                <w:szCs w:val="20"/>
                <w:lang w:val="en-GB"/>
              </w:rPr>
              <w:t>MWh</w:t>
            </w:r>
          </w:p>
        </w:tc>
        <w:tc>
          <w:tcPr>
            <w:tcW w:w="6550" w:type="dxa"/>
            <w:vAlign w:val="center"/>
          </w:tcPr>
          <w:p w14:paraId="65A35393" w14:textId="3A4FC469" w:rsidR="00526FEA" w:rsidRPr="00ED6F34" w:rsidRDefault="00270368" w:rsidP="00CE523D">
            <w:pPr>
              <w:spacing w:before="60" w:after="60"/>
              <w:rPr>
                <w:rFonts w:ascii="Calibri" w:hAnsi="Calibri" w:cs="Times New Roman"/>
                <w:szCs w:val="20"/>
                <w:lang w:val="en-GB"/>
              </w:rPr>
            </w:pPr>
            <w:r w:rsidRPr="00ED6F34">
              <w:rPr>
                <w:rFonts w:ascii="Calibri" w:hAnsi="Calibri" w:cs="Times New Roman"/>
                <w:szCs w:val="20"/>
                <w:lang w:val="en-GB"/>
              </w:rPr>
              <w:t>Megawatt</w:t>
            </w:r>
            <w:r>
              <w:rPr>
                <w:rFonts w:ascii="Calibri" w:hAnsi="Calibri" w:cs="Times New Roman"/>
                <w:szCs w:val="20"/>
                <w:lang w:val="en-GB"/>
              </w:rPr>
              <w:t>-</w:t>
            </w:r>
            <w:r w:rsidR="00526FEA" w:rsidRPr="00ED6F34">
              <w:rPr>
                <w:rFonts w:ascii="Calibri" w:hAnsi="Calibri" w:cs="Times New Roman"/>
                <w:szCs w:val="20"/>
                <w:lang w:val="en-GB"/>
              </w:rPr>
              <w:t>hour</w:t>
            </w:r>
          </w:p>
        </w:tc>
      </w:tr>
      <w:tr w:rsidR="00526FEA" w:rsidRPr="00342DFA" w14:paraId="5073B61A" w14:textId="77777777" w:rsidTr="00CE523D">
        <w:trPr>
          <w:jc w:val="center"/>
        </w:trPr>
        <w:tc>
          <w:tcPr>
            <w:tcW w:w="1809" w:type="dxa"/>
            <w:vAlign w:val="center"/>
          </w:tcPr>
          <w:p w14:paraId="72BC436B" w14:textId="77777777" w:rsidR="00526FEA" w:rsidRPr="00ED6F34" w:rsidRDefault="00526FEA" w:rsidP="00CE523D">
            <w:pPr>
              <w:spacing w:before="60" w:after="60"/>
              <w:jc w:val="center"/>
              <w:rPr>
                <w:rFonts w:ascii="Calibri" w:hAnsi="Calibri" w:cs="Times New Roman"/>
                <w:szCs w:val="20"/>
                <w:lang w:val="en-GB"/>
              </w:rPr>
            </w:pPr>
            <w:proofErr w:type="spellStart"/>
            <w:r w:rsidRPr="00ED6F34">
              <w:rPr>
                <w:rFonts w:ascii="Calibri" w:hAnsi="Calibri" w:cs="Times New Roman"/>
                <w:szCs w:val="20"/>
                <w:lang w:val="en-GB"/>
              </w:rPr>
              <w:t>ncm</w:t>
            </w:r>
            <w:proofErr w:type="spellEnd"/>
          </w:p>
        </w:tc>
        <w:tc>
          <w:tcPr>
            <w:tcW w:w="6550" w:type="dxa"/>
            <w:vAlign w:val="center"/>
          </w:tcPr>
          <w:p w14:paraId="3B7346E6" w14:textId="1C802948" w:rsidR="00526FEA" w:rsidRPr="00ED6F34" w:rsidRDefault="00526FEA" w:rsidP="00CE523D">
            <w:pPr>
              <w:spacing w:before="60" w:after="60"/>
              <w:rPr>
                <w:rFonts w:ascii="Calibri" w:hAnsi="Calibri" w:cs="Times New Roman"/>
                <w:szCs w:val="20"/>
                <w:lang w:val="en-GB"/>
              </w:rPr>
            </w:pPr>
            <w:r w:rsidRPr="00ED6F34">
              <w:rPr>
                <w:rFonts w:ascii="Calibri" w:hAnsi="Calibri" w:cs="Times New Roman"/>
                <w:szCs w:val="20"/>
                <w:lang w:val="en-GB"/>
              </w:rPr>
              <w:t xml:space="preserve">Normal </w:t>
            </w:r>
            <w:r w:rsidR="00270368">
              <w:rPr>
                <w:rFonts w:ascii="Calibri" w:hAnsi="Calibri" w:cs="Times New Roman"/>
                <w:szCs w:val="20"/>
                <w:lang w:val="en-GB"/>
              </w:rPr>
              <w:t>C</w:t>
            </w:r>
            <w:r w:rsidR="00270368" w:rsidRPr="00ED6F34">
              <w:rPr>
                <w:rFonts w:ascii="Calibri" w:hAnsi="Calibri" w:cs="Times New Roman"/>
                <w:szCs w:val="20"/>
                <w:lang w:val="en-GB"/>
              </w:rPr>
              <w:t xml:space="preserve">ubic </w:t>
            </w:r>
            <w:r w:rsidR="00270368">
              <w:rPr>
                <w:rFonts w:ascii="Calibri" w:hAnsi="Calibri" w:cs="Times New Roman"/>
                <w:szCs w:val="20"/>
                <w:lang w:val="en-GB"/>
              </w:rPr>
              <w:t>M</w:t>
            </w:r>
            <w:r w:rsidR="00270368" w:rsidRPr="00ED6F34">
              <w:rPr>
                <w:rFonts w:ascii="Calibri" w:hAnsi="Calibri" w:cs="Times New Roman"/>
                <w:szCs w:val="20"/>
                <w:lang w:val="en-GB"/>
              </w:rPr>
              <w:t>eter</w:t>
            </w:r>
          </w:p>
        </w:tc>
      </w:tr>
      <w:tr w:rsidR="00526FEA" w:rsidRPr="00342DFA" w14:paraId="393F076F" w14:textId="77777777" w:rsidTr="00CE523D">
        <w:trPr>
          <w:jc w:val="center"/>
        </w:trPr>
        <w:tc>
          <w:tcPr>
            <w:tcW w:w="1809" w:type="dxa"/>
            <w:vAlign w:val="center"/>
          </w:tcPr>
          <w:p w14:paraId="021DE767" w14:textId="77777777" w:rsidR="00526FEA" w:rsidRPr="00ED6F34" w:rsidRDefault="00526FEA" w:rsidP="00CE523D">
            <w:pPr>
              <w:spacing w:before="60" w:after="60"/>
              <w:jc w:val="center"/>
              <w:rPr>
                <w:rFonts w:ascii="Calibri" w:hAnsi="Calibri" w:cs="Times New Roman"/>
                <w:szCs w:val="20"/>
                <w:lang w:val="en-GB"/>
              </w:rPr>
            </w:pPr>
            <w:r w:rsidRPr="00ED6F34">
              <w:rPr>
                <w:rFonts w:ascii="Calibri" w:hAnsi="Calibri" w:cs="Times New Roman"/>
                <w:szCs w:val="20"/>
                <w:lang w:val="en-GB"/>
              </w:rPr>
              <w:t>NCV</w:t>
            </w:r>
          </w:p>
        </w:tc>
        <w:tc>
          <w:tcPr>
            <w:tcW w:w="6550" w:type="dxa"/>
            <w:vAlign w:val="center"/>
          </w:tcPr>
          <w:p w14:paraId="504319BB" w14:textId="77777777" w:rsidR="00526FEA" w:rsidRPr="00ED6F34" w:rsidRDefault="00526FEA" w:rsidP="00CE523D">
            <w:pPr>
              <w:spacing w:before="60" w:after="60"/>
              <w:rPr>
                <w:rFonts w:ascii="Calibri" w:hAnsi="Calibri" w:cs="Times New Roman"/>
                <w:szCs w:val="20"/>
                <w:lang w:val="en-GB"/>
              </w:rPr>
            </w:pPr>
            <w:r w:rsidRPr="00ED6F34">
              <w:rPr>
                <w:rFonts w:ascii="Calibri" w:hAnsi="Calibri" w:cs="Times New Roman"/>
                <w:szCs w:val="20"/>
                <w:lang w:val="en-GB"/>
              </w:rPr>
              <w:t>Net Calorific Value</w:t>
            </w:r>
          </w:p>
        </w:tc>
      </w:tr>
      <w:tr w:rsidR="00526FEA" w:rsidRPr="00342DFA" w14:paraId="1E7FB264" w14:textId="77777777" w:rsidTr="00CE523D">
        <w:trPr>
          <w:jc w:val="center"/>
        </w:trPr>
        <w:tc>
          <w:tcPr>
            <w:tcW w:w="1809" w:type="dxa"/>
            <w:vAlign w:val="center"/>
          </w:tcPr>
          <w:p w14:paraId="420CF867" w14:textId="77777777" w:rsidR="00526FEA" w:rsidRPr="00ED6F34" w:rsidRDefault="00526FEA" w:rsidP="00CE523D">
            <w:pPr>
              <w:spacing w:before="60" w:after="60"/>
              <w:jc w:val="center"/>
              <w:rPr>
                <w:rFonts w:ascii="Calibri" w:hAnsi="Calibri" w:cs="Times New Roman"/>
                <w:szCs w:val="20"/>
                <w:lang w:val="en-GB"/>
              </w:rPr>
            </w:pPr>
            <w:r w:rsidRPr="00ED6F34">
              <w:rPr>
                <w:rFonts w:ascii="Calibri" w:hAnsi="Calibri" w:cs="Times New Roman"/>
                <w:szCs w:val="20"/>
                <w:lang w:val="en-GB"/>
              </w:rPr>
              <w:t>OGCI</w:t>
            </w:r>
          </w:p>
        </w:tc>
        <w:tc>
          <w:tcPr>
            <w:tcW w:w="6550" w:type="dxa"/>
            <w:vAlign w:val="center"/>
          </w:tcPr>
          <w:p w14:paraId="06A26169" w14:textId="77777777" w:rsidR="00526FEA" w:rsidRPr="00ED6F34" w:rsidRDefault="00526FEA" w:rsidP="00CE523D">
            <w:pPr>
              <w:spacing w:before="60" w:after="60"/>
              <w:rPr>
                <w:rFonts w:ascii="Calibri" w:hAnsi="Calibri" w:cs="Times New Roman"/>
                <w:szCs w:val="20"/>
                <w:lang w:val="en-GB"/>
              </w:rPr>
            </w:pPr>
            <w:r w:rsidRPr="00ED6F34">
              <w:rPr>
                <w:rFonts w:ascii="Calibri" w:hAnsi="Calibri" w:cs="Times New Roman"/>
                <w:szCs w:val="20"/>
                <w:lang w:val="en-GB"/>
              </w:rPr>
              <w:t>Oil and Gas Climate Initiative</w:t>
            </w:r>
          </w:p>
        </w:tc>
      </w:tr>
      <w:tr w:rsidR="00526FEA" w:rsidRPr="00342DFA" w14:paraId="4A64DFAA" w14:textId="77777777" w:rsidTr="00CE523D">
        <w:trPr>
          <w:jc w:val="center"/>
        </w:trPr>
        <w:tc>
          <w:tcPr>
            <w:tcW w:w="1809" w:type="dxa"/>
            <w:vAlign w:val="center"/>
          </w:tcPr>
          <w:p w14:paraId="2EC4FCEC" w14:textId="77777777" w:rsidR="00526FEA" w:rsidRPr="00ED6F34" w:rsidRDefault="00526FEA" w:rsidP="00CE523D">
            <w:pPr>
              <w:spacing w:before="60" w:after="60"/>
              <w:jc w:val="center"/>
              <w:rPr>
                <w:rFonts w:ascii="Calibri" w:hAnsi="Calibri" w:cs="Times New Roman"/>
                <w:szCs w:val="20"/>
                <w:lang w:val="en-GB"/>
              </w:rPr>
            </w:pPr>
            <w:proofErr w:type="spellStart"/>
            <w:r w:rsidRPr="00ED6F34">
              <w:rPr>
                <w:rFonts w:ascii="Calibri" w:hAnsi="Calibri" w:cs="Times New Roman"/>
                <w:szCs w:val="20"/>
                <w:lang w:val="en-GB"/>
              </w:rPr>
              <w:t>scm</w:t>
            </w:r>
            <w:proofErr w:type="spellEnd"/>
          </w:p>
        </w:tc>
        <w:tc>
          <w:tcPr>
            <w:tcW w:w="6550" w:type="dxa"/>
            <w:vAlign w:val="center"/>
          </w:tcPr>
          <w:p w14:paraId="5627A800" w14:textId="04A51817" w:rsidR="00526FEA" w:rsidRPr="00ED6F34" w:rsidRDefault="00526FEA" w:rsidP="00CE523D">
            <w:pPr>
              <w:spacing w:before="60" w:after="60"/>
              <w:rPr>
                <w:rFonts w:ascii="Calibri" w:hAnsi="Calibri" w:cs="Times New Roman"/>
                <w:szCs w:val="20"/>
                <w:lang w:val="en-GB"/>
              </w:rPr>
            </w:pPr>
            <w:r w:rsidRPr="00ED6F34">
              <w:rPr>
                <w:rFonts w:ascii="Calibri" w:hAnsi="Calibri" w:cs="Times New Roman"/>
                <w:szCs w:val="20"/>
                <w:lang w:val="en-GB"/>
              </w:rPr>
              <w:t xml:space="preserve">Standard </w:t>
            </w:r>
            <w:r w:rsidR="00270368">
              <w:rPr>
                <w:rFonts w:ascii="Calibri" w:hAnsi="Calibri" w:cs="Times New Roman"/>
                <w:szCs w:val="20"/>
                <w:lang w:val="en-GB"/>
              </w:rPr>
              <w:t>C</w:t>
            </w:r>
            <w:r w:rsidR="00270368" w:rsidRPr="00ED6F34">
              <w:rPr>
                <w:rFonts w:ascii="Calibri" w:hAnsi="Calibri" w:cs="Times New Roman"/>
                <w:szCs w:val="20"/>
                <w:lang w:val="en-GB"/>
              </w:rPr>
              <w:t xml:space="preserve">ubic </w:t>
            </w:r>
            <w:r w:rsidR="00270368">
              <w:rPr>
                <w:rFonts w:ascii="Calibri" w:hAnsi="Calibri" w:cs="Times New Roman"/>
                <w:szCs w:val="20"/>
                <w:lang w:val="en-GB"/>
              </w:rPr>
              <w:t>M</w:t>
            </w:r>
            <w:r w:rsidR="00270368" w:rsidRPr="00ED6F34">
              <w:rPr>
                <w:rFonts w:ascii="Calibri" w:hAnsi="Calibri" w:cs="Times New Roman"/>
                <w:szCs w:val="20"/>
                <w:lang w:val="en-GB"/>
              </w:rPr>
              <w:t>eter</w:t>
            </w:r>
          </w:p>
        </w:tc>
      </w:tr>
      <w:tr w:rsidR="00526FEA" w:rsidRPr="00342DFA" w14:paraId="732586EB" w14:textId="77777777" w:rsidTr="00CE523D">
        <w:trPr>
          <w:jc w:val="center"/>
        </w:trPr>
        <w:tc>
          <w:tcPr>
            <w:tcW w:w="1809" w:type="dxa"/>
            <w:vAlign w:val="center"/>
          </w:tcPr>
          <w:p w14:paraId="1AE56A88" w14:textId="77777777" w:rsidR="00526FEA" w:rsidRPr="00ED6F34" w:rsidRDefault="00526FEA" w:rsidP="00CE523D">
            <w:pPr>
              <w:spacing w:before="60" w:after="60"/>
              <w:jc w:val="center"/>
              <w:rPr>
                <w:rFonts w:ascii="Calibri" w:hAnsi="Calibri" w:cs="Times New Roman"/>
                <w:szCs w:val="20"/>
                <w:lang w:val="en-GB"/>
              </w:rPr>
            </w:pPr>
            <w:r w:rsidRPr="00ED6F34">
              <w:rPr>
                <w:rFonts w:ascii="Calibri" w:hAnsi="Calibri" w:cs="Times New Roman"/>
                <w:szCs w:val="20"/>
                <w:lang w:val="en-GB"/>
              </w:rPr>
              <w:t>tCO</w:t>
            </w:r>
            <w:r w:rsidRPr="00ED6F34">
              <w:rPr>
                <w:rFonts w:ascii="Calibri" w:hAnsi="Calibri" w:cs="Times New Roman"/>
                <w:szCs w:val="20"/>
                <w:vertAlign w:val="subscript"/>
                <w:lang w:val="en-GB"/>
              </w:rPr>
              <w:t>2</w:t>
            </w:r>
            <w:r w:rsidRPr="00ED6F34">
              <w:rPr>
                <w:rFonts w:ascii="Calibri" w:hAnsi="Calibri" w:cs="Times New Roman"/>
                <w:szCs w:val="20"/>
                <w:lang w:val="en-GB"/>
              </w:rPr>
              <w:t>e</w:t>
            </w:r>
          </w:p>
        </w:tc>
        <w:tc>
          <w:tcPr>
            <w:tcW w:w="6550" w:type="dxa"/>
            <w:vAlign w:val="center"/>
          </w:tcPr>
          <w:p w14:paraId="6E349ADA" w14:textId="77777777" w:rsidR="00526FEA" w:rsidRPr="00ED6F34" w:rsidRDefault="00526FEA" w:rsidP="00CE523D">
            <w:pPr>
              <w:spacing w:before="60" w:after="60"/>
              <w:rPr>
                <w:rFonts w:ascii="Calibri" w:hAnsi="Calibri" w:cs="Times New Roman"/>
                <w:szCs w:val="20"/>
                <w:lang w:val="en-GB"/>
              </w:rPr>
            </w:pPr>
            <w:r w:rsidRPr="00ED6F34">
              <w:rPr>
                <w:rFonts w:ascii="Calibri" w:hAnsi="Calibri" w:cs="Times New Roman"/>
                <w:szCs w:val="20"/>
                <w:lang w:val="en-GB"/>
              </w:rPr>
              <w:t>metric ton of carbon dioxide equivalent</w:t>
            </w:r>
          </w:p>
        </w:tc>
      </w:tr>
      <w:tr w:rsidR="00526FEA" w:rsidRPr="00342DFA" w14:paraId="0CCE4B88" w14:textId="77777777" w:rsidTr="00CE523D">
        <w:trPr>
          <w:jc w:val="center"/>
        </w:trPr>
        <w:tc>
          <w:tcPr>
            <w:tcW w:w="1809" w:type="dxa"/>
            <w:vAlign w:val="center"/>
          </w:tcPr>
          <w:p w14:paraId="01B5CA9A" w14:textId="77777777" w:rsidR="00526FEA" w:rsidRPr="00B07C95" w:rsidRDefault="00526FEA" w:rsidP="00CE523D">
            <w:pPr>
              <w:spacing w:before="60" w:after="60"/>
              <w:jc w:val="center"/>
              <w:rPr>
                <w:rFonts w:ascii="Calibri" w:hAnsi="Calibri" w:cs="Times New Roman"/>
                <w:szCs w:val="20"/>
                <w:lang w:val="en-GB"/>
              </w:rPr>
            </w:pPr>
            <w:r w:rsidRPr="00480950">
              <w:rPr>
                <w:rFonts w:ascii="Calibri" w:hAnsi="Calibri" w:cs="Times New Roman"/>
                <w:szCs w:val="20"/>
              </w:rPr>
              <w:t>TJ</w:t>
            </w:r>
          </w:p>
        </w:tc>
        <w:tc>
          <w:tcPr>
            <w:tcW w:w="6550" w:type="dxa"/>
            <w:vAlign w:val="center"/>
          </w:tcPr>
          <w:p w14:paraId="362A38B5" w14:textId="77777777" w:rsidR="00526FEA" w:rsidRPr="00ED6F34" w:rsidRDefault="00526FEA" w:rsidP="00CE523D">
            <w:pPr>
              <w:spacing w:before="60" w:after="60"/>
              <w:rPr>
                <w:rFonts w:ascii="Calibri" w:hAnsi="Calibri" w:cs="Times New Roman"/>
                <w:szCs w:val="20"/>
                <w:lang w:val="en-GB"/>
              </w:rPr>
            </w:pPr>
            <w:r w:rsidRPr="00ED6F34">
              <w:rPr>
                <w:rFonts w:ascii="Calibri" w:hAnsi="Calibri" w:cs="Times New Roman"/>
                <w:szCs w:val="20"/>
                <w:lang w:val="en-GB"/>
              </w:rPr>
              <w:t>Terajoules</w:t>
            </w:r>
          </w:p>
        </w:tc>
      </w:tr>
      <w:tr w:rsidR="00526FEA" w:rsidRPr="00342DFA" w14:paraId="59872F94" w14:textId="77777777" w:rsidTr="00CE523D">
        <w:trPr>
          <w:jc w:val="center"/>
        </w:trPr>
        <w:tc>
          <w:tcPr>
            <w:tcW w:w="1809" w:type="dxa"/>
            <w:vAlign w:val="center"/>
          </w:tcPr>
          <w:p w14:paraId="6134475E" w14:textId="77777777" w:rsidR="00526FEA" w:rsidRPr="00B07C95" w:rsidRDefault="00526FEA" w:rsidP="00CE523D">
            <w:pPr>
              <w:spacing w:before="60" w:after="60"/>
              <w:jc w:val="center"/>
              <w:rPr>
                <w:rFonts w:ascii="Calibri" w:hAnsi="Calibri" w:cs="Times New Roman"/>
                <w:szCs w:val="20"/>
                <w:lang w:val="en-GB"/>
              </w:rPr>
            </w:pPr>
            <w:r w:rsidRPr="00480950">
              <w:rPr>
                <w:rFonts w:ascii="Calibri" w:hAnsi="Calibri" w:cs="Times New Roman"/>
                <w:szCs w:val="20"/>
              </w:rPr>
              <w:t>WBCSD</w:t>
            </w:r>
          </w:p>
        </w:tc>
        <w:tc>
          <w:tcPr>
            <w:tcW w:w="6550" w:type="dxa"/>
            <w:vAlign w:val="center"/>
          </w:tcPr>
          <w:p w14:paraId="2DA2CC5F" w14:textId="77777777" w:rsidR="00526FEA" w:rsidRPr="00B07C95" w:rsidRDefault="00526FEA" w:rsidP="00CE523D">
            <w:pPr>
              <w:spacing w:before="60" w:after="60"/>
              <w:rPr>
                <w:rFonts w:ascii="Calibri" w:hAnsi="Calibri" w:cs="Times New Roman"/>
                <w:szCs w:val="20"/>
                <w:lang w:val="en-GB"/>
              </w:rPr>
            </w:pPr>
            <w:r w:rsidRPr="00B07C95">
              <w:rPr>
                <w:rFonts w:ascii="Calibri" w:hAnsi="Calibri" w:cs="Times New Roman"/>
                <w:szCs w:val="20"/>
                <w:lang w:val="en-GB"/>
              </w:rPr>
              <w:t xml:space="preserve">World Business Council </w:t>
            </w:r>
            <w:r>
              <w:rPr>
                <w:rFonts w:ascii="Calibri" w:hAnsi="Calibri" w:cs="Times New Roman"/>
                <w:szCs w:val="20"/>
                <w:lang w:val="en-GB"/>
              </w:rPr>
              <w:t>for</w:t>
            </w:r>
            <w:r w:rsidRPr="00B07C95">
              <w:rPr>
                <w:rFonts w:ascii="Calibri" w:hAnsi="Calibri" w:cs="Times New Roman"/>
                <w:szCs w:val="20"/>
                <w:lang w:val="en-GB"/>
              </w:rPr>
              <w:t xml:space="preserve"> Sustainable Development</w:t>
            </w:r>
          </w:p>
        </w:tc>
      </w:tr>
    </w:tbl>
    <w:p w14:paraId="717CF4D4" w14:textId="15171C6D" w:rsidR="00192950" w:rsidRDefault="00192950" w:rsidP="00526FEA">
      <w:pPr>
        <w:rPr>
          <w:lang w:eastAsia="fr-FR"/>
        </w:rPr>
      </w:pPr>
    </w:p>
    <w:p w14:paraId="32AA4F26" w14:textId="77777777" w:rsidR="00192950" w:rsidRDefault="00192950">
      <w:pPr>
        <w:spacing w:after="0" w:line="276" w:lineRule="auto"/>
        <w:jc w:val="left"/>
        <w:rPr>
          <w:lang w:eastAsia="fr-FR"/>
        </w:rPr>
      </w:pPr>
      <w:r>
        <w:rPr>
          <w:lang w:eastAsia="fr-FR"/>
        </w:rPr>
        <w:br w:type="page"/>
      </w:r>
    </w:p>
    <w:p w14:paraId="41207436" w14:textId="0A9C9660" w:rsidR="00817F06" w:rsidRDefault="00192950" w:rsidP="00192950">
      <w:pPr>
        <w:pStyle w:val="Heading1"/>
        <w:numPr>
          <w:ilvl w:val="0"/>
          <w:numId w:val="0"/>
        </w:numPr>
        <w:ind w:left="432"/>
        <w:rPr>
          <w:lang w:eastAsia="fr-FR"/>
        </w:rPr>
      </w:pPr>
      <w:bookmarkStart w:id="19" w:name="_Ref19181280"/>
      <w:bookmarkStart w:id="20" w:name="_Ref19181288"/>
      <w:bookmarkStart w:id="21" w:name="_Toc97226723"/>
      <w:r>
        <w:rPr>
          <w:lang w:eastAsia="fr-FR"/>
        </w:rPr>
        <w:lastRenderedPageBreak/>
        <w:t xml:space="preserve">Appendix B – </w:t>
      </w:r>
      <w:r w:rsidR="00817F06">
        <w:rPr>
          <w:lang w:eastAsia="fr-FR"/>
        </w:rPr>
        <w:t>Calculation and conversion factors</w:t>
      </w:r>
      <w:bookmarkEnd w:id="19"/>
      <w:bookmarkEnd w:id="20"/>
      <w:bookmarkEnd w:id="21"/>
    </w:p>
    <w:p w14:paraId="4EED9030" w14:textId="4C99CED8" w:rsidR="00811483" w:rsidRDefault="00811483" w:rsidP="00811483">
      <w:pPr>
        <w:rPr>
          <w:rFonts w:ascii="Calibri" w:eastAsia="Times New Roman" w:hAnsi="Calibri" w:cs="Times New Roman"/>
          <w:szCs w:val="20"/>
          <w:lang w:eastAsia="fr-FR"/>
        </w:rPr>
      </w:pPr>
      <w:r>
        <w:rPr>
          <w:rFonts w:ascii="Calibri" w:eastAsia="Times New Roman" w:hAnsi="Calibri" w:cs="Times New Roman"/>
          <w:szCs w:val="20"/>
          <w:lang w:eastAsia="fr-FR"/>
        </w:rPr>
        <w:t>The list reported below provides the most relevant literature sources of calculation factors (unit conversion, standard parameters like GWP, HHV/LHV, etc) that</w:t>
      </w:r>
      <w:r w:rsidR="00270368">
        <w:rPr>
          <w:rFonts w:ascii="Calibri" w:eastAsia="Times New Roman" w:hAnsi="Calibri" w:cs="Times New Roman"/>
          <w:szCs w:val="20"/>
          <w:lang w:eastAsia="fr-FR"/>
        </w:rPr>
        <w:t xml:space="preserve"> OGCI uses in its reporting and that</w:t>
      </w:r>
      <w:r>
        <w:rPr>
          <w:rFonts w:ascii="Calibri" w:eastAsia="Times New Roman" w:hAnsi="Calibri" w:cs="Times New Roman"/>
          <w:szCs w:val="20"/>
          <w:lang w:eastAsia="fr-FR"/>
        </w:rPr>
        <w:t xml:space="preserve"> companies can use</w:t>
      </w:r>
      <w:r w:rsidR="00270368">
        <w:rPr>
          <w:rFonts w:ascii="Calibri" w:eastAsia="Times New Roman" w:hAnsi="Calibri" w:cs="Times New Roman"/>
          <w:szCs w:val="20"/>
          <w:lang w:eastAsia="fr-FR"/>
        </w:rPr>
        <w:t>:</w:t>
      </w:r>
    </w:p>
    <w:p w14:paraId="0AC16206" w14:textId="7BABA045" w:rsidR="00811483" w:rsidRPr="007F56FC" w:rsidRDefault="00811483" w:rsidP="0035559C">
      <w:pPr>
        <w:pStyle w:val="ListParagraph"/>
        <w:numPr>
          <w:ilvl w:val="0"/>
          <w:numId w:val="8"/>
        </w:numPr>
        <w:spacing w:after="160" w:line="259" w:lineRule="auto"/>
        <w:rPr>
          <w:rFonts w:cstheme="minorHAnsi"/>
          <w:szCs w:val="20"/>
        </w:rPr>
      </w:pPr>
      <w:r w:rsidRPr="007F56FC">
        <w:rPr>
          <w:rFonts w:cstheme="minorHAnsi"/>
          <w:szCs w:val="20"/>
        </w:rPr>
        <w:t xml:space="preserve">American Petroleum Institute (API) - </w:t>
      </w:r>
      <w:r w:rsidRPr="007F56FC">
        <w:rPr>
          <w:rFonts w:cstheme="minorHAnsi"/>
          <w:i/>
          <w:iCs/>
          <w:szCs w:val="20"/>
        </w:rPr>
        <w:t>The API Compendium of Greenhouse Gas Emissions Estimation Methodologies for the Oil and Gas Industry,</w:t>
      </w:r>
      <w:r w:rsidRPr="007F56FC">
        <w:rPr>
          <w:rFonts w:cstheme="minorHAnsi"/>
          <w:szCs w:val="20"/>
        </w:rPr>
        <w:t xml:space="preserve"> 2009</w:t>
      </w:r>
      <w:r w:rsidR="00ED38CE">
        <w:rPr>
          <w:rFonts w:cstheme="minorHAnsi"/>
          <w:szCs w:val="20"/>
        </w:rPr>
        <w:tab/>
      </w:r>
    </w:p>
    <w:p w14:paraId="37DA38D4" w14:textId="77777777" w:rsidR="00811483" w:rsidRPr="007F56FC" w:rsidRDefault="00811483" w:rsidP="0035559C">
      <w:pPr>
        <w:pStyle w:val="ListParagraph"/>
        <w:numPr>
          <w:ilvl w:val="0"/>
          <w:numId w:val="8"/>
        </w:numPr>
        <w:spacing w:after="160" w:line="259" w:lineRule="auto"/>
        <w:rPr>
          <w:rFonts w:cstheme="minorHAnsi"/>
          <w:szCs w:val="20"/>
        </w:rPr>
      </w:pPr>
      <w:r w:rsidRPr="007F56FC">
        <w:rPr>
          <w:rFonts w:cstheme="minorHAnsi"/>
          <w:szCs w:val="20"/>
        </w:rPr>
        <w:t xml:space="preserve">Intergovernmental Panel on Climate Change (IPCC) - </w:t>
      </w:r>
      <w:r w:rsidRPr="007F56FC">
        <w:rPr>
          <w:rFonts w:cstheme="minorHAnsi"/>
          <w:i/>
          <w:szCs w:val="20"/>
        </w:rPr>
        <w:t xml:space="preserve">IPCC </w:t>
      </w:r>
      <w:r w:rsidRPr="007F56FC">
        <w:rPr>
          <w:rFonts w:cstheme="minorHAnsi"/>
          <w:i/>
          <w:iCs/>
          <w:szCs w:val="20"/>
        </w:rPr>
        <w:t>Guidelines for National Greenhouse Gas Inventories</w:t>
      </w:r>
      <w:r w:rsidRPr="007F56FC">
        <w:rPr>
          <w:rFonts w:cstheme="minorHAnsi"/>
          <w:szCs w:val="20"/>
        </w:rPr>
        <w:t>, 2006</w:t>
      </w:r>
    </w:p>
    <w:p w14:paraId="49C2DCC8" w14:textId="17523FFB" w:rsidR="00811483" w:rsidRPr="007F56FC" w:rsidRDefault="00811483" w:rsidP="0035559C">
      <w:pPr>
        <w:pStyle w:val="ListParagraph"/>
        <w:numPr>
          <w:ilvl w:val="0"/>
          <w:numId w:val="8"/>
        </w:numPr>
        <w:spacing w:after="160" w:line="259" w:lineRule="auto"/>
        <w:rPr>
          <w:rFonts w:cstheme="minorHAnsi"/>
          <w:szCs w:val="20"/>
        </w:rPr>
      </w:pPr>
      <w:r w:rsidRPr="007F56FC">
        <w:rPr>
          <w:rFonts w:cstheme="minorHAnsi"/>
          <w:szCs w:val="20"/>
        </w:rPr>
        <w:t>IPCC Fourth Assessment Report, Climate Change 2007</w:t>
      </w:r>
      <w:r w:rsidR="00270368">
        <w:rPr>
          <w:rFonts w:cstheme="minorHAnsi"/>
          <w:szCs w:val="20"/>
        </w:rPr>
        <w:t xml:space="preserve"> - </w:t>
      </w:r>
      <w:r w:rsidRPr="00272D6D">
        <w:rPr>
          <w:rFonts w:cstheme="minorHAnsi"/>
          <w:i/>
          <w:iCs/>
          <w:szCs w:val="20"/>
        </w:rPr>
        <w:t>Global Warming Potentials</w:t>
      </w:r>
    </w:p>
    <w:p w14:paraId="539CAE3C" w14:textId="496D5035" w:rsidR="00811483" w:rsidRPr="007F56FC" w:rsidRDefault="00811483" w:rsidP="0035559C">
      <w:pPr>
        <w:pStyle w:val="ListParagraph"/>
        <w:numPr>
          <w:ilvl w:val="0"/>
          <w:numId w:val="8"/>
        </w:numPr>
        <w:spacing w:after="160" w:line="259" w:lineRule="auto"/>
        <w:rPr>
          <w:rFonts w:cstheme="minorHAnsi"/>
          <w:szCs w:val="20"/>
        </w:rPr>
      </w:pPr>
      <w:r w:rsidRPr="007F56FC">
        <w:rPr>
          <w:rFonts w:cstheme="minorHAnsi"/>
          <w:szCs w:val="20"/>
        </w:rPr>
        <w:t>International Energy Agency (IEA)</w:t>
      </w:r>
      <w:r w:rsidR="00270368">
        <w:rPr>
          <w:rFonts w:cstheme="minorHAnsi"/>
          <w:szCs w:val="20"/>
        </w:rPr>
        <w:t>:</w:t>
      </w:r>
      <w:r w:rsidRPr="007F56FC">
        <w:rPr>
          <w:rFonts w:cstheme="minorHAnsi"/>
          <w:szCs w:val="20"/>
        </w:rPr>
        <w:t xml:space="preserve"> IEA Energy Statistics Division, CO2 emissions from fuel combustion (yearly updated)</w:t>
      </w:r>
    </w:p>
    <w:p w14:paraId="3CD51BDF" w14:textId="44122517" w:rsidR="00811483" w:rsidRPr="00272D6D" w:rsidRDefault="00811483" w:rsidP="0035559C">
      <w:pPr>
        <w:pStyle w:val="ListParagraph"/>
        <w:numPr>
          <w:ilvl w:val="0"/>
          <w:numId w:val="8"/>
        </w:numPr>
        <w:rPr>
          <w:rFonts w:eastAsia="Times New Roman" w:cstheme="minorHAnsi"/>
          <w:i/>
          <w:szCs w:val="20"/>
          <w:lang w:eastAsia="fr-FR"/>
        </w:rPr>
      </w:pPr>
      <w:r w:rsidRPr="007F56FC">
        <w:rPr>
          <w:rFonts w:eastAsia="Times New Roman" w:cstheme="minorHAnsi"/>
          <w:szCs w:val="20"/>
          <w:lang w:eastAsia="fr-FR"/>
        </w:rPr>
        <w:t>Climate and Clean Air coalition, Oil &amp; Gas Methane Partnership, technical guidance for estimating methane emissions and mitigation options, 2015</w:t>
      </w:r>
    </w:p>
    <w:p w14:paraId="0725C478" w14:textId="0BE91DD2" w:rsidR="001D22B3" w:rsidRPr="007F56FC" w:rsidRDefault="001D22B3" w:rsidP="0035559C">
      <w:pPr>
        <w:pStyle w:val="ListParagraph"/>
        <w:numPr>
          <w:ilvl w:val="0"/>
          <w:numId w:val="8"/>
        </w:numPr>
        <w:rPr>
          <w:rFonts w:eastAsia="Times New Roman" w:cstheme="minorHAnsi"/>
          <w:i/>
          <w:szCs w:val="20"/>
          <w:lang w:eastAsia="fr-FR"/>
        </w:rPr>
      </w:pPr>
      <w:r>
        <w:rPr>
          <w:rFonts w:eastAsia="Times New Roman" w:cstheme="minorHAnsi"/>
          <w:szCs w:val="20"/>
          <w:lang w:eastAsia="fr-FR"/>
        </w:rPr>
        <w:t>BP Statistical Review of World Energy 2019</w:t>
      </w:r>
    </w:p>
    <w:p w14:paraId="708386BC" w14:textId="3897FBEC" w:rsidR="00817F06" w:rsidRDefault="00302594" w:rsidP="00817F06">
      <w:pPr>
        <w:rPr>
          <w:lang w:eastAsia="fr-FR"/>
        </w:rPr>
      </w:pPr>
      <w:r>
        <w:rPr>
          <w:lang w:eastAsia="fr-FR"/>
        </w:rPr>
        <w:t>The following table provide the main conversion factors</w:t>
      </w:r>
      <w:r w:rsidR="008950BC">
        <w:rPr>
          <w:lang w:eastAsia="fr-FR"/>
        </w:rPr>
        <w:t xml:space="preserve"> that are used at OGI level to </w:t>
      </w:r>
      <w:r w:rsidR="00661EC8">
        <w:rPr>
          <w:lang w:eastAsia="fr-FR"/>
        </w:rPr>
        <w:t>consolidate</w:t>
      </w:r>
      <w:r w:rsidR="008950BC">
        <w:rPr>
          <w:lang w:eastAsia="fr-FR"/>
        </w:rPr>
        <w:t xml:space="preserve"> the companies’ indicators</w:t>
      </w:r>
      <w:r>
        <w:rPr>
          <w:lang w:eastAsia="fr-FR"/>
        </w:rPr>
        <w:t>:</w:t>
      </w:r>
    </w:p>
    <w:tbl>
      <w:tblPr>
        <w:tblStyle w:val="TableGrid"/>
        <w:tblW w:w="0" w:type="auto"/>
        <w:jc w:val="center"/>
        <w:tblLook w:val="0420" w:firstRow="1" w:lastRow="0" w:firstColumn="0" w:lastColumn="0" w:noHBand="0" w:noVBand="1"/>
      </w:tblPr>
      <w:tblGrid>
        <w:gridCol w:w="1585"/>
        <w:gridCol w:w="3715"/>
        <w:gridCol w:w="3716"/>
      </w:tblGrid>
      <w:tr w:rsidR="009B4BE5" w14:paraId="0771341A" w14:textId="77777777" w:rsidTr="00817EAC">
        <w:trPr>
          <w:trHeight w:val="283"/>
          <w:jc w:val="center"/>
        </w:trPr>
        <w:tc>
          <w:tcPr>
            <w:tcW w:w="1585" w:type="dxa"/>
            <w:shd w:val="clear" w:color="auto" w:fill="4F81BD" w:themeFill="accent1"/>
            <w:vAlign w:val="center"/>
          </w:tcPr>
          <w:p w14:paraId="434B79C5" w14:textId="77777777" w:rsidR="009B4BE5" w:rsidRPr="00106D83" w:rsidRDefault="009B4BE5" w:rsidP="00817EAC">
            <w:pPr>
              <w:spacing w:after="0"/>
              <w:jc w:val="center"/>
              <w:rPr>
                <w:rFonts w:ascii="Calibri" w:eastAsia="Times New Roman" w:hAnsi="Calibri" w:cs="Times New Roman"/>
                <w:b/>
                <w:color w:val="FFFFFF" w:themeColor="background1"/>
                <w:szCs w:val="20"/>
                <w:lang w:eastAsia="fr-FR"/>
              </w:rPr>
            </w:pPr>
            <w:r w:rsidRPr="00106D83">
              <w:rPr>
                <w:rFonts w:ascii="Calibri" w:eastAsia="Times New Roman" w:hAnsi="Calibri" w:cs="Times New Roman"/>
                <w:b/>
                <w:color w:val="FFFFFF" w:themeColor="background1"/>
                <w:szCs w:val="20"/>
                <w:lang w:eastAsia="fr-FR"/>
              </w:rPr>
              <w:t>Theme</w:t>
            </w:r>
          </w:p>
        </w:tc>
        <w:tc>
          <w:tcPr>
            <w:tcW w:w="3715" w:type="dxa"/>
            <w:shd w:val="clear" w:color="auto" w:fill="4F81BD" w:themeFill="accent1"/>
            <w:vAlign w:val="center"/>
          </w:tcPr>
          <w:p w14:paraId="418B5E4C" w14:textId="77777777" w:rsidR="009B4BE5" w:rsidRPr="00106D83" w:rsidRDefault="009B4BE5" w:rsidP="00817EAC">
            <w:pPr>
              <w:spacing w:after="0"/>
              <w:jc w:val="center"/>
              <w:rPr>
                <w:rFonts w:ascii="Calibri" w:hAnsi="Calibri" w:cs="Calibri"/>
                <w:b/>
                <w:color w:val="FFFFFF" w:themeColor="background1"/>
              </w:rPr>
            </w:pPr>
            <w:r>
              <w:rPr>
                <w:rFonts w:ascii="Calibri" w:hAnsi="Calibri" w:cs="Calibri"/>
                <w:b/>
                <w:color w:val="FFFFFF" w:themeColor="background1"/>
              </w:rPr>
              <w:t>Conversion factor</w:t>
            </w:r>
          </w:p>
        </w:tc>
        <w:tc>
          <w:tcPr>
            <w:tcW w:w="3716" w:type="dxa"/>
            <w:shd w:val="clear" w:color="auto" w:fill="4F81BD" w:themeFill="accent1"/>
            <w:vAlign w:val="center"/>
          </w:tcPr>
          <w:p w14:paraId="1AAD5A62" w14:textId="77777777" w:rsidR="009B4BE5" w:rsidRPr="00106D83" w:rsidRDefault="009B4BE5" w:rsidP="00817EAC">
            <w:pPr>
              <w:spacing w:after="0"/>
              <w:jc w:val="center"/>
              <w:rPr>
                <w:rFonts w:ascii="Calibri" w:hAnsi="Calibri" w:cs="Calibri"/>
                <w:b/>
                <w:color w:val="FFFFFF" w:themeColor="background1"/>
              </w:rPr>
            </w:pPr>
            <w:r>
              <w:rPr>
                <w:rFonts w:ascii="Calibri" w:hAnsi="Calibri" w:cs="Calibri"/>
                <w:b/>
                <w:color w:val="FFFFFF" w:themeColor="background1"/>
              </w:rPr>
              <w:t>Source</w:t>
            </w:r>
          </w:p>
        </w:tc>
      </w:tr>
      <w:tr w:rsidR="0035559C" w14:paraId="77BDDAC9" w14:textId="77777777" w:rsidTr="00817EAC">
        <w:trPr>
          <w:trHeight w:val="283"/>
          <w:jc w:val="center"/>
        </w:trPr>
        <w:tc>
          <w:tcPr>
            <w:tcW w:w="1585" w:type="dxa"/>
            <w:vMerge w:val="restart"/>
            <w:shd w:val="clear" w:color="auto" w:fill="FFFFFF" w:themeFill="background1"/>
            <w:vAlign w:val="center"/>
          </w:tcPr>
          <w:p w14:paraId="1CE87C66" w14:textId="36C6DD35" w:rsidR="0035559C" w:rsidRPr="00272D6D" w:rsidRDefault="0035559C" w:rsidP="00817EAC">
            <w:pPr>
              <w:spacing w:after="0"/>
              <w:jc w:val="center"/>
              <w:rPr>
                <w:rFonts w:ascii="Calibri" w:eastAsia="Times New Roman" w:hAnsi="Calibri" w:cs="Times New Roman"/>
                <w:b/>
                <w:sz w:val="18"/>
                <w:szCs w:val="18"/>
                <w:lang w:val="en-GB" w:eastAsia="fr-FR"/>
              </w:rPr>
            </w:pPr>
            <w:r w:rsidRPr="00272D6D">
              <w:rPr>
                <w:rFonts w:ascii="Calibri" w:eastAsia="Times New Roman" w:hAnsi="Calibri" w:cs="Times New Roman"/>
                <w:b/>
                <w:sz w:val="18"/>
                <w:szCs w:val="18"/>
                <w:lang w:eastAsia="fr-FR"/>
              </w:rPr>
              <w:t>Activity data</w:t>
            </w:r>
          </w:p>
        </w:tc>
        <w:tc>
          <w:tcPr>
            <w:tcW w:w="3715" w:type="dxa"/>
            <w:shd w:val="clear" w:color="auto" w:fill="FFFFFF" w:themeFill="background1"/>
            <w:vAlign w:val="center"/>
          </w:tcPr>
          <w:p w14:paraId="1DF91C50" w14:textId="3E32CBE1" w:rsidR="0035559C" w:rsidRPr="00272D6D" w:rsidRDefault="0035559C" w:rsidP="00817EAC">
            <w:pPr>
              <w:spacing w:after="0"/>
              <w:jc w:val="left"/>
              <w:rPr>
                <w:rFonts w:ascii="Calibri" w:eastAsia="Times New Roman" w:hAnsi="Calibri" w:cs="Times New Roman"/>
                <w:bCs/>
                <w:sz w:val="18"/>
                <w:szCs w:val="18"/>
                <w:lang w:val="en-GB" w:eastAsia="fr-FR"/>
              </w:rPr>
            </w:pPr>
            <w:r w:rsidRPr="00272D6D">
              <w:rPr>
                <w:rFonts w:ascii="Calibri" w:eastAsia="Times New Roman" w:hAnsi="Calibri" w:cs="Times New Roman"/>
                <w:bCs/>
                <w:sz w:val="18"/>
                <w:szCs w:val="18"/>
                <w:lang w:eastAsia="fr-FR"/>
              </w:rPr>
              <w:t xml:space="preserve">1 </w:t>
            </w:r>
            <w:r>
              <w:rPr>
                <w:rFonts w:ascii="Calibri" w:eastAsia="Times New Roman" w:hAnsi="Calibri" w:cs="Times New Roman"/>
                <w:bCs/>
                <w:sz w:val="18"/>
                <w:szCs w:val="18"/>
                <w:lang w:eastAsia="fr-FR"/>
              </w:rPr>
              <w:t>t</w:t>
            </w:r>
            <w:r w:rsidRPr="00272D6D">
              <w:rPr>
                <w:rFonts w:ascii="Calibri" w:eastAsia="Times New Roman" w:hAnsi="Calibri" w:cs="Times New Roman"/>
                <w:bCs/>
                <w:sz w:val="18"/>
                <w:szCs w:val="18"/>
                <w:lang w:eastAsia="fr-FR"/>
              </w:rPr>
              <w:t xml:space="preserve">oe = 7.33 </w:t>
            </w:r>
            <w:r>
              <w:rPr>
                <w:rFonts w:ascii="Calibri" w:eastAsia="Times New Roman" w:hAnsi="Calibri" w:cs="Times New Roman"/>
                <w:bCs/>
                <w:sz w:val="18"/>
                <w:szCs w:val="18"/>
                <w:lang w:eastAsia="fr-FR"/>
              </w:rPr>
              <w:t>b</w:t>
            </w:r>
            <w:r w:rsidRPr="00272D6D">
              <w:rPr>
                <w:rFonts w:ascii="Calibri" w:eastAsia="Times New Roman" w:hAnsi="Calibri" w:cs="Times New Roman"/>
                <w:bCs/>
                <w:sz w:val="18"/>
                <w:szCs w:val="18"/>
                <w:lang w:eastAsia="fr-FR"/>
              </w:rPr>
              <w:t>oe</w:t>
            </w:r>
          </w:p>
        </w:tc>
        <w:tc>
          <w:tcPr>
            <w:tcW w:w="3716" w:type="dxa"/>
            <w:shd w:val="clear" w:color="auto" w:fill="FFFFFF" w:themeFill="background1"/>
            <w:vAlign w:val="center"/>
          </w:tcPr>
          <w:p w14:paraId="78BFF8EF" w14:textId="5DEFEBDE" w:rsidR="0035559C" w:rsidRPr="00272D6D" w:rsidRDefault="0035559C" w:rsidP="00817EAC">
            <w:pPr>
              <w:spacing w:after="0"/>
              <w:jc w:val="left"/>
              <w:rPr>
                <w:rFonts w:ascii="Calibri" w:eastAsia="Times New Roman" w:hAnsi="Calibri" w:cs="Times New Roman"/>
                <w:bCs/>
                <w:sz w:val="18"/>
                <w:szCs w:val="18"/>
                <w:highlight w:val="yellow"/>
                <w:lang w:val="en-GB" w:eastAsia="fr-FR"/>
              </w:rPr>
            </w:pPr>
            <w:r w:rsidRPr="00272D6D">
              <w:rPr>
                <w:sz w:val="18"/>
                <w:szCs w:val="18"/>
                <w:lang w:val="en-GB"/>
              </w:rPr>
              <w:t>BP Statistical Review of World Energy 2019</w:t>
            </w:r>
            <w:r>
              <w:rPr>
                <w:sz w:val="18"/>
                <w:szCs w:val="18"/>
                <w:lang w:val="en-GB"/>
              </w:rPr>
              <w:t xml:space="preserve"> – Crude Oil</w:t>
            </w:r>
          </w:p>
        </w:tc>
      </w:tr>
      <w:tr w:rsidR="0035559C" w14:paraId="0A0C5E6A" w14:textId="77777777" w:rsidTr="00817EAC">
        <w:trPr>
          <w:trHeight w:val="283"/>
          <w:jc w:val="center"/>
        </w:trPr>
        <w:tc>
          <w:tcPr>
            <w:tcW w:w="1585" w:type="dxa"/>
            <w:vMerge/>
            <w:shd w:val="clear" w:color="auto" w:fill="FFFFFF" w:themeFill="background1"/>
            <w:vAlign w:val="center"/>
          </w:tcPr>
          <w:p w14:paraId="09594755" w14:textId="77777777" w:rsidR="0035559C" w:rsidRPr="00B96572" w:rsidRDefault="0035559C" w:rsidP="00817EAC">
            <w:pPr>
              <w:spacing w:after="0"/>
              <w:jc w:val="center"/>
              <w:rPr>
                <w:rFonts w:ascii="Calibri" w:eastAsia="Times New Roman" w:hAnsi="Calibri" w:cs="Times New Roman"/>
                <w:b/>
                <w:sz w:val="18"/>
                <w:szCs w:val="18"/>
                <w:lang w:val="en-US" w:eastAsia="fr-FR"/>
              </w:rPr>
            </w:pPr>
          </w:p>
        </w:tc>
        <w:tc>
          <w:tcPr>
            <w:tcW w:w="3715" w:type="dxa"/>
            <w:shd w:val="clear" w:color="auto" w:fill="FFFFFF" w:themeFill="background1"/>
            <w:vAlign w:val="center"/>
          </w:tcPr>
          <w:p w14:paraId="41124D1D" w14:textId="38D31C10" w:rsidR="0035559C" w:rsidRPr="00272D6D" w:rsidRDefault="0035559C" w:rsidP="00817EAC">
            <w:pPr>
              <w:spacing w:after="0"/>
              <w:jc w:val="left"/>
              <w:rPr>
                <w:rFonts w:ascii="Calibri" w:eastAsia="Times New Roman" w:hAnsi="Calibri" w:cs="Times New Roman"/>
                <w:bCs/>
                <w:sz w:val="18"/>
                <w:szCs w:val="18"/>
                <w:lang w:eastAsia="fr-FR"/>
              </w:rPr>
            </w:pPr>
            <w:r>
              <w:rPr>
                <w:rFonts w:ascii="Calibri" w:eastAsia="Times New Roman" w:hAnsi="Calibri" w:cs="Times New Roman"/>
                <w:bCs/>
                <w:sz w:val="18"/>
                <w:szCs w:val="18"/>
                <w:lang w:eastAsia="fr-FR"/>
              </w:rPr>
              <w:t>1 cf = 0.028 m</w:t>
            </w:r>
            <w:r w:rsidRPr="00272D6D">
              <w:rPr>
                <w:rFonts w:ascii="Calibri" w:eastAsia="Times New Roman" w:hAnsi="Calibri" w:cs="Times New Roman"/>
                <w:bCs/>
                <w:sz w:val="18"/>
                <w:szCs w:val="18"/>
                <w:vertAlign w:val="superscript"/>
                <w:lang w:eastAsia="fr-FR"/>
              </w:rPr>
              <w:t>3</w:t>
            </w:r>
            <w:r>
              <w:rPr>
                <w:rFonts w:ascii="Calibri" w:eastAsia="Times New Roman" w:hAnsi="Calibri" w:cs="Times New Roman"/>
                <w:bCs/>
                <w:sz w:val="18"/>
                <w:szCs w:val="18"/>
                <w:lang w:eastAsia="fr-FR"/>
              </w:rPr>
              <w:t xml:space="preserve"> </w:t>
            </w:r>
          </w:p>
        </w:tc>
        <w:tc>
          <w:tcPr>
            <w:tcW w:w="3716" w:type="dxa"/>
            <w:shd w:val="clear" w:color="auto" w:fill="FFFFFF" w:themeFill="background1"/>
            <w:vAlign w:val="center"/>
          </w:tcPr>
          <w:p w14:paraId="76252514" w14:textId="40494955" w:rsidR="0035559C" w:rsidRPr="00B96572" w:rsidRDefault="0035559C" w:rsidP="00817EAC">
            <w:pPr>
              <w:spacing w:after="0"/>
              <w:jc w:val="left"/>
              <w:rPr>
                <w:rFonts w:ascii="Calibri" w:eastAsia="Times New Roman" w:hAnsi="Calibri" w:cs="Times New Roman"/>
                <w:bCs/>
                <w:sz w:val="18"/>
                <w:szCs w:val="18"/>
                <w:lang w:val="en-US" w:eastAsia="fr-FR"/>
              </w:rPr>
            </w:pPr>
            <w:r w:rsidRPr="003B2E52">
              <w:rPr>
                <w:sz w:val="18"/>
                <w:szCs w:val="18"/>
                <w:lang w:val="en-GB"/>
              </w:rPr>
              <w:t>BP Statistical Review of World Energy 2019</w:t>
            </w:r>
            <w:r>
              <w:rPr>
                <w:sz w:val="18"/>
                <w:szCs w:val="18"/>
                <w:lang w:val="en-GB"/>
              </w:rPr>
              <w:t xml:space="preserve"> – Natural Gas</w:t>
            </w:r>
          </w:p>
        </w:tc>
      </w:tr>
      <w:tr w:rsidR="0035559C" w14:paraId="702D52CD" w14:textId="77777777" w:rsidTr="00817EAC">
        <w:trPr>
          <w:trHeight w:val="283"/>
          <w:jc w:val="center"/>
        </w:trPr>
        <w:tc>
          <w:tcPr>
            <w:tcW w:w="1585" w:type="dxa"/>
            <w:vMerge/>
            <w:shd w:val="clear" w:color="auto" w:fill="FFFFFF" w:themeFill="background1"/>
            <w:vAlign w:val="center"/>
          </w:tcPr>
          <w:p w14:paraId="47AD9E8A" w14:textId="77777777" w:rsidR="0035559C" w:rsidRPr="00B96572" w:rsidRDefault="0035559C" w:rsidP="00150575">
            <w:pPr>
              <w:spacing w:after="0"/>
              <w:jc w:val="center"/>
              <w:rPr>
                <w:rFonts w:ascii="Calibri" w:eastAsia="Times New Roman" w:hAnsi="Calibri" w:cs="Times New Roman"/>
                <w:b/>
                <w:sz w:val="18"/>
                <w:szCs w:val="18"/>
                <w:lang w:val="en-US" w:eastAsia="fr-FR"/>
              </w:rPr>
            </w:pPr>
          </w:p>
        </w:tc>
        <w:tc>
          <w:tcPr>
            <w:tcW w:w="3715" w:type="dxa"/>
            <w:shd w:val="clear" w:color="auto" w:fill="FFFFFF" w:themeFill="background1"/>
            <w:vAlign w:val="center"/>
          </w:tcPr>
          <w:p w14:paraId="6AA7F1CA" w14:textId="7A44D7B4" w:rsidR="0035559C" w:rsidRPr="00272D6D" w:rsidRDefault="0035559C" w:rsidP="00150575">
            <w:pPr>
              <w:spacing w:after="0"/>
              <w:jc w:val="left"/>
              <w:rPr>
                <w:rFonts w:ascii="Calibri" w:eastAsia="Times New Roman" w:hAnsi="Calibri" w:cs="Times New Roman"/>
                <w:bCs/>
                <w:sz w:val="18"/>
                <w:szCs w:val="18"/>
                <w:lang w:eastAsia="fr-FR"/>
              </w:rPr>
            </w:pPr>
            <w:r>
              <w:rPr>
                <w:rFonts w:ascii="Calibri" w:eastAsia="Times New Roman" w:hAnsi="Calibri" w:cs="Times New Roman"/>
                <w:bCs/>
                <w:sz w:val="18"/>
                <w:szCs w:val="18"/>
                <w:lang w:eastAsia="fr-FR"/>
              </w:rPr>
              <w:t xml:space="preserve">1 cf = </w:t>
            </w:r>
            <w:r w:rsidRPr="00150575">
              <w:rPr>
                <w:rFonts w:ascii="Calibri" w:eastAsia="Times New Roman" w:hAnsi="Calibri" w:cs="Times New Roman"/>
                <w:bCs/>
                <w:sz w:val="18"/>
                <w:szCs w:val="18"/>
                <w:lang w:eastAsia="fr-FR"/>
              </w:rPr>
              <w:t>0.0001</w:t>
            </w:r>
            <w:r>
              <w:rPr>
                <w:rFonts w:ascii="Calibri" w:eastAsia="Times New Roman" w:hAnsi="Calibri" w:cs="Times New Roman"/>
                <w:bCs/>
                <w:sz w:val="18"/>
                <w:szCs w:val="18"/>
                <w:lang w:eastAsia="fr-FR"/>
              </w:rPr>
              <w:t>67 boe</w:t>
            </w:r>
          </w:p>
        </w:tc>
        <w:tc>
          <w:tcPr>
            <w:tcW w:w="3716" w:type="dxa"/>
            <w:shd w:val="clear" w:color="auto" w:fill="FFFFFF" w:themeFill="background1"/>
            <w:vAlign w:val="center"/>
          </w:tcPr>
          <w:p w14:paraId="47F3D488" w14:textId="2AE2CCB3" w:rsidR="0035559C" w:rsidRPr="00B96572" w:rsidRDefault="0035559C" w:rsidP="00150575">
            <w:pPr>
              <w:spacing w:after="0"/>
              <w:jc w:val="left"/>
              <w:rPr>
                <w:rFonts w:ascii="Calibri" w:eastAsia="Times New Roman" w:hAnsi="Calibri" w:cs="Times New Roman"/>
                <w:bCs/>
                <w:sz w:val="18"/>
                <w:szCs w:val="18"/>
                <w:lang w:val="en-US" w:eastAsia="fr-FR"/>
              </w:rPr>
            </w:pPr>
            <w:r w:rsidRPr="003B2E52">
              <w:rPr>
                <w:sz w:val="18"/>
                <w:szCs w:val="18"/>
                <w:lang w:val="en-GB"/>
              </w:rPr>
              <w:t>BP Statistical Review of World Energy 2019</w:t>
            </w:r>
            <w:r>
              <w:rPr>
                <w:sz w:val="18"/>
                <w:szCs w:val="18"/>
                <w:lang w:val="en-GB"/>
              </w:rPr>
              <w:t xml:space="preserve"> – Natural Gas</w:t>
            </w:r>
          </w:p>
        </w:tc>
      </w:tr>
      <w:tr w:rsidR="0035559C" w14:paraId="742DE5A4" w14:textId="77777777" w:rsidTr="00817EAC">
        <w:trPr>
          <w:trHeight w:val="283"/>
          <w:jc w:val="center"/>
        </w:trPr>
        <w:tc>
          <w:tcPr>
            <w:tcW w:w="1585" w:type="dxa"/>
            <w:vMerge/>
            <w:shd w:val="clear" w:color="auto" w:fill="FFFFFF" w:themeFill="background1"/>
            <w:vAlign w:val="center"/>
          </w:tcPr>
          <w:p w14:paraId="2607EAEA" w14:textId="77777777" w:rsidR="0035559C" w:rsidRPr="00B96572" w:rsidRDefault="0035559C" w:rsidP="00150575">
            <w:pPr>
              <w:spacing w:after="0"/>
              <w:jc w:val="center"/>
              <w:rPr>
                <w:rFonts w:ascii="Calibri" w:eastAsia="Times New Roman" w:hAnsi="Calibri" w:cs="Times New Roman"/>
                <w:b/>
                <w:sz w:val="18"/>
                <w:szCs w:val="18"/>
                <w:lang w:val="en-US" w:eastAsia="fr-FR"/>
              </w:rPr>
            </w:pPr>
          </w:p>
        </w:tc>
        <w:tc>
          <w:tcPr>
            <w:tcW w:w="3715" w:type="dxa"/>
            <w:shd w:val="clear" w:color="auto" w:fill="FFFFFF" w:themeFill="background1"/>
            <w:vAlign w:val="center"/>
          </w:tcPr>
          <w:p w14:paraId="18CBEA87" w14:textId="7ED00473" w:rsidR="0035559C" w:rsidRPr="00272D6D" w:rsidRDefault="0035559C" w:rsidP="00150575">
            <w:pPr>
              <w:spacing w:after="0"/>
              <w:jc w:val="left"/>
              <w:rPr>
                <w:rFonts w:ascii="Calibri" w:eastAsia="Times New Roman" w:hAnsi="Calibri" w:cs="Times New Roman"/>
                <w:bCs/>
                <w:sz w:val="18"/>
                <w:szCs w:val="18"/>
                <w:lang w:eastAsia="fr-FR"/>
              </w:rPr>
            </w:pPr>
            <w:r>
              <w:rPr>
                <w:rFonts w:ascii="Calibri" w:eastAsia="Times New Roman" w:hAnsi="Calibri" w:cs="Times New Roman"/>
                <w:bCs/>
                <w:sz w:val="18"/>
                <w:szCs w:val="18"/>
                <w:lang w:eastAsia="fr-FR"/>
              </w:rPr>
              <w:t>1 m3 = 0.860 toe</w:t>
            </w:r>
          </w:p>
        </w:tc>
        <w:tc>
          <w:tcPr>
            <w:tcW w:w="3716" w:type="dxa"/>
            <w:shd w:val="clear" w:color="auto" w:fill="FFFFFF" w:themeFill="background1"/>
            <w:vAlign w:val="center"/>
          </w:tcPr>
          <w:p w14:paraId="61F0F683" w14:textId="59D3C711" w:rsidR="0035559C" w:rsidRPr="00B96572" w:rsidRDefault="0035559C" w:rsidP="00150575">
            <w:pPr>
              <w:spacing w:after="0"/>
              <w:jc w:val="left"/>
              <w:rPr>
                <w:rFonts w:ascii="Calibri" w:eastAsia="Times New Roman" w:hAnsi="Calibri" w:cs="Times New Roman"/>
                <w:bCs/>
                <w:sz w:val="18"/>
                <w:szCs w:val="18"/>
                <w:lang w:val="en-US" w:eastAsia="fr-FR"/>
              </w:rPr>
            </w:pPr>
            <w:r w:rsidRPr="003B2E52">
              <w:rPr>
                <w:sz w:val="18"/>
                <w:szCs w:val="18"/>
                <w:lang w:val="en-GB"/>
              </w:rPr>
              <w:t>BP Statistical Review of World Energy 2019</w:t>
            </w:r>
            <w:r>
              <w:rPr>
                <w:sz w:val="18"/>
                <w:szCs w:val="18"/>
                <w:lang w:val="en-GB"/>
              </w:rPr>
              <w:t xml:space="preserve"> – Natural Gas</w:t>
            </w:r>
          </w:p>
        </w:tc>
      </w:tr>
      <w:tr w:rsidR="0035559C" w14:paraId="4A1B82C6" w14:textId="77777777" w:rsidTr="00817EAC">
        <w:trPr>
          <w:trHeight w:val="283"/>
          <w:jc w:val="center"/>
        </w:trPr>
        <w:tc>
          <w:tcPr>
            <w:tcW w:w="1585" w:type="dxa"/>
            <w:vMerge/>
            <w:shd w:val="clear" w:color="auto" w:fill="FFFFFF" w:themeFill="background1"/>
            <w:vAlign w:val="center"/>
          </w:tcPr>
          <w:p w14:paraId="1EBDC1CD" w14:textId="77777777" w:rsidR="0035559C" w:rsidRPr="00B96572" w:rsidRDefault="0035559C" w:rsidP="00150575">
            <w:pPr>
              <w:spacing w:after="0"/>
              <w:jc w:val="center"/>
              <w:rPr>
                <w:rFonts w:ascii="Calibri" w:eastAsia="Times New Roman" w:hAnsi="Calibri" w:cs="Times New Roman"/>
                <w:b/>
                <w:sz w:val="18"/>
                <w:szCs w:val="18"/>
                <w:lang w:val="en-US" w:eastAsia="fr-FR"/>
              </w:rPr>
            </w:pPr>
          </w:p>
        </w:tc>
        <w:tc>
          <w:tcPr>
            <w:tcW w:w="3715" w:type="dxa"/>
            <w:shd w:val="clear" w:color="auto" w:fill="FFFFFF" w:themeFill="background1"/>
            <w:vAlign w:val="center"/>
          </w:tcPr>
          <w:p w14:paraId="70C0AB30" w14:textId="5815B335" w:rsidR="0035559C" w:rsidRDefault="00435674" w:rsidP="00150575">
            <w:pPr>
              <w:spacing w:after="0"/>
              <w:jc w:val="left"/>
              <w:rPr>
                <w:rFonts w:ascii="Calibri" w:eastAsia="Times New Roman" w:hAnsi="Calibri" w:cs="Times New Roman"/>
                <w:bCs/>
                <w:sz w:val="18"/>
                <w:szCs w:val="18"/>
                <w:lang w:eastAsia="fr-FR"/>
              </w:rPr>
            </w:pPr>
            <w:r>
              <w:rPr>
                <w:rFonts w:ascii="Calibri" w:eastAsia="Times New Roman" w:hAnsi="Calibri" w:cs="Times New Roman"/>
                <w:bCs/>
                <w:sz w:val="18"/>
                <w:szCs w:val="18"/>
                <w:lang w:eastAsia="fr-FR"/>
              </w:rPr>
              <w:t>1 m</w:t>
            </w:r>
            <w:r w:rsidRPr="004400CE">
              <w:rPr>
                <w:rFonts w:ascii="Calibri" w:eastAsia="Times New Roman" w:hAnsi="Calibri" w:cs="Times New Roman"/>
                <w:bCs/>
                <w:sz w:val="18"/>
                <w:szCs w:val="18"/>
                <w:vertAlign w:val="superscript"/>
                <w:lang w:eastAsia="fr-FR"/>
              </w:rPr>
              <w:t>3</w:t>
            </w:r>
            <w:r w:rsidRPr="004400CE">
              <w:rPr>
                <w:rFonts w:ascii="Calibri" w:eastAsia="Times New Roman" w:hAnsi="Calibri" w:cs="Times New Roman"/>
                <w:bCs/>
                <w:sz w:val="18"/>
                <w:szCs w:val="18"/>
                <w:vertAlign w:val="subscript"/>
                <w:lang w:eastAsia="fr-FR"/>
              </w:rPr>
              <w:t>CH4</w:t>
            </w:r>
            <w:r>
              <w:rPr>
                <w:rFonts w:ascii="Calibri" w:eastAsia="Times New Roman" w:hAnsi="Calibri" w:cs="Times New Roman"/>
                <w:bCs/>
                <w:sz w:val="18"/>
                <w:szCs w:val="18"/>
                <w:lang w:eastAsia="fr-FR"/>
              </w:rPr>
              <w:t xml:space="preserve"> = </w:t>
            </w:r>
            <w:r w:rsidR="004371E7">
              <w:rPr>
                <w:rFonts w:ascii="Calibri" w:eastAsia="Times New Roman" w:hAnsi="Calibri" w:cs="Times New Roman"/>
                <w:bCs/>
                <w:sz w:val="18"/>
                <w:szCs w:val="18"/>
                <w:lang w:eastAsia="fr-FR"/>
              </w:rPr>
              <w:t>0.000714</w:t>
            </w:r>
            <w:r>
              <w:rPr>
                <w:rFonts w:ascii="Calibri" w:eastAsia="Times New Roman" w:hAnsi="Calibri" w:cs="Times New Roman"/>
                <w:bCs/>
                <w:sz w:val="18"/>
                <w:szCs w:val="18"/>
                <w:lang w:eastAsia="fr-FR"/>
              </w:rPr>
              <w:t xml:space="preserve"> </w:t>
            </w:r>
            <w:r w:rsidRPr="004B4F8D">
              <w:rPr>
                <w:rFonts w:ascii="Calibri" w:eastAsia="Times New Roman" w:hAnsi="Calibri" w:cs="Times New Roman"/>
                <w:bCs/>
                <w:sz w:val="18"/>
                <w:szCs w:val="18"/>
                <w:lang w:eastAsia="fr-FR"/>
              </w:rPr>
              <w:t>t</w:t>
            </w:r>
            <w:r w:rsidRPr="004400CE">
              <w:rPr>
                <w:rFonts w:ascii="Calibri" w:eastAsia="Times New Roman" w:hAnsi="Calibri" w:cs="Times New Roman"/>
                <w:bCs/>
                <w:sz w:val="18"/>
                <w:szCs w:val="18"/>
                <w:vertAlign w:val="subscript"/>
                <w:lang w:eastAsia="fr-FR"/>
              </w:rPr>
              <w:t>CH4</w:t>
            </w:r>
          </w:p>
        </w:tc>
        <w:tc>
          <w:tcPr>
            <w:tcW w:w="3716" w:type="dxa"/>
            <w:shd w:val="clear" w:color="auto" w:fill="FFFFFF" w:themeFill="background1"/>
            <w:vAlign w:val="center"/>
          </w:tcPr>
          <w:p w14:paraId="2A7448D9" w14:textId="61A68320" w:rsidR="0035559C" w:rsidRPr="004B4F8D" w:rsidRDefault="00435674" w:rsidP="00150575">
            <w:pPr>
              <w:spacing w:after="0"/>
              <w:jc w:val="left"/>
              <w:rPr>
                <w:sz w:val="18"/>
                <w:szCs w:val="18"/>
                <w:lang w:val="en-GB"/>
              </w:rPr>
            </w:pPr>
            <w:r>
              <w:rPr>
                <w:sz w:val="18"/>
                <w:szCs w:val="18"/>
              </w:rPr>
              <w:t>Calculated</w:t>
            </w:r>
            <w:r w:rsidR="00C94A56">
              <w:rPr>
                <w:sz w:val="18"/>
                <w:szCs w:val="18"/>
              </w:rPr>
              <w:t xml:space="preserve"> (</w:t>
            </w:r>
            <w:r w:rsidR="009A3360" w:rsidRPr="009A3360">
              <w:rPr>
                <w:sz w:val="18"/>
                <w:szCs w:val="18"/>
              </w:rPr>
              <w:t>@ 0°</w:t>
            </w:r>
            <w:r w:rsidR="009A3360">
              <w:rPr>
                <w:sz w:val="18"/>
                <w:szCs w:val="18"/>
              </w:rPr>
              <w:t>Celsius</w:t>
            </w:r>
            <w:r w:rsidR="009A3360" w:rsidRPr="009A3360">
              <w:rPr>
                <w:sz w:val="18"/>
                <w:szCs w:val="18"/>
              </w:rPr>
              <w:t xml:space="preserve"> 1 atm</w:t>
            </w:r>
            <w:r w:rsidR="00DF2BDB">
              <w:rPr>
                <w:sz w:val="18"/>
                <w:szCs w:val="18"/>
              </w:rPr>
              <w:t>)</w:t>
            </w:r>
          </w:p>
        </w:tc>
      </w:tr>
      <w:tr w:rsidR="00150575" w14:paraId="60DA593F" w14:textId="77777777" w:rsidTr="00817EAC">
        <w:trPr>
          <w:trHeight w:val="283"/>
          <w:jc w:val="center"/>
        </w:trPr>
        <w:tc>
          <w:tcPr>
            <w:tcW w:w="1585" w:type="dxa"/>
            <w:vMerge w:val="restart"/>
            <w:shd w:val="clear" w:color="auto" w:fill="F2F2F2" w:themeFill="background1" w:themeFillShade="F2"/>
            <w:vAlign w:val="center"/>
          </w:tcPr>
          <w:p w14:paraId="182EEEF2" w14:textId="77777777" w:rsidR="00150575" w:rsidRPr="00304FE5" w:rsidRDefault="00150575" w:rsidP="00150575">
            <w:pPr>
              <w:spacing w:after="0"/>
              <w:jc w:val="center"/>
              <w:rPr>
                <w:rFonts w:ascii="Calibri" w:eastAsia="Times New Roman" w:hAnsi="Calibri" w:cs="Times New Roman"/>
                <w:b/>
                <w:sz w:val="18"/>
                <w:szCs w:val="18"/>
                <w:lang w:val="en-US" w:eastAsia="fr-FR"/>
              </w:rPr>
            </w:pPr>
            <w:r>
              <w:rPr>
                <w:rFonts w:ascii="Calibri" w:eastAsia="Times New Roman" w:hAnsi="Calibri" w:cs="Times New Roman"/>
                <w:b/>
                <w:sz w:val="18"/>
                <w:szCs w:val="18"/>
                <w:lang w:val="en-US" w:eastAsia="fr-FR"/>
              </w:rPr>
              <w:t>GHG Emissions</w:t>
            </w:r>
          </w:p>
        </w:tc>
        <w:tc>
          <w:tcPr>
            <w:tcW w:w="3715" w:type="dxa"/>
            <w:shd w:val="clear" w:color="auto" w:fill="F2F2F2" w:themeFill="background1" w:themeFillShade="F2"/>
            <w:vAlign w:val="center"/>
          </w:tcPr>
          <w:p w14:paraId="5B918836" w14:textId="77777777" w:rsidR="00150575" w:rsidRPr="00272D6D" w:rsidRDefault="00150575" w:rsidP="00150575">
            <w:pPr>
              <w:spacing w:after="0"/>
              <w:jc w:val="left"/>
              <w:rPr>
                <w:rFonts w:ascii="Calibri" w:eastAsia="Times New Roman" w:hAnsi="Calibri" w:cs="Times New Roman"/>
                <w:bCs/>
                <w:sz w:val="18"/>
                <w:szCs w:val="18"/>
                <w:lang w:val="en-GB" w:eastAsia="fr-FR"/>
              </w:rPr>
            </w:pPr>
            <w:r w:rsidRPr="00272D6D">
              <w:rPr>
                <w:rFonts w:ascii="Calibri" w:eastAsia="Times New Roman" w:hAnsi="Calibri" w:cs="Times New Roman"/>
                <w:bCs/>
                <w:sz w:val="18"/>
                <w:szCs w:val="18"/>
                <w:lang w:val="en-GB" w:eastAsia="fr-FR"/>
              </w:rPr>
              <w:t>1 t CH</w:t>
            </w:r>
            <w:r w:rsidRPr="00272D6D">
              <w:rPr>
                <w:rFonts w:ascii="Calibri" w:eastAsia="Times New Roman" w:hAnsi="Calibri" w:cs="Times New Roman"/>
                <w:bCs/>
                <w:sz w:val="18"/>
                <w:szCs w:val="18"/>
                <w:vertAlign w:val="subscript"/>
                <w:lang w:val="en-GB" w:eastAsia="fr-FR"/>
              </w:rPr>
              <w:t>4</w:t>
            </w:r>
            <w:r w:rsidRPr="00272D6D">
              <w:rPr>
                <w:rFonts w:ascii="Calibri" w:eastAsia="Times New Roman" w:hAnsi="Calibri" w:cs="Times New Roman"/>
                <w:bCs/>
                <w:sz w:val="18"/>
                <w:szCs w:val="18"/>
                <w:lang w:val="en-GB" w:eastAsia="fr-FR"/>
              </w:rPr>
              <w:t xml:space="preserve"> = 25 t CO</w:t>
            </w:r>
            <w:r w:rsidRPr="00272D6D">
              <w:rPr>
                <w:rFonts w:ascii="Calibri" w:eastAsia="Times New Roman" w:hAnsi="Calibri" w:cs="Times New Roman"/>
                <w:bCs/>
                <w:sz w:val="18"/>
                <w:szCs w:val="18"/>
                <w:vertAlign w:val="subscript"/>
                <w:lang w:val="en-GB" w:eastAsia="fr-FR"/>
              </w:rPr>
              <w:t>2e</w:t>
            </w:r>
          </w:p>
        </w:tc>
        <w:tc>
          <w:tcPr>
            <w:tcW w:w="3716" w:type="dxa"/>
            <w:vMerge w:val="restart"/>
            <w:shd w:val="clear" w:color="auto" w:fill="F2F2F2" w:themeFill="background1" w:themeFillShade="F2"/>
            <w:vAlign w:val="center"/>
          </w:tcPr>
          <w:p w14:paraId="792378B3" w14:textId="42D2A7B8" w:rsidR="00150575" w:rsidRPr="00272D6D" w:rsidRDefault="00150575" w:rsidP="00150575">
            <w:pPr>
              <w:spacing w:after="0"/>
              <w:jc w:val="left"/>
              <w:rPr>
                <w:rFonts w:ascii="Calibri" w:eastAsia="Times New Roman" w:hAnsi="Calibri" w:cs="Times New Roman"/>
                <w:bCs/>
                <w:sz w:val="18"/>
                <w:szCs w:val="18"/>
                <w:lang w:val="en-GB" w:eastAsia="fr-FR"/>
              </w:rPr>
            </w:pPr>
            <w:r w:rsidRPr="00272D6D">
              <w:rPr>
                <w:rFonts w:ascii="Calibri" w:eastAsia="Times New Roman" w:hAnsi="Calibri" w:cs="Times New Roman"/>
                <w:bCs/>
                <w:sz w:val="18"/>
                <w:szCs w:val="18"/>
                <w:lang w:val="en-GB" w:eastAsia="fr-FR"/>
              </w:rPr>
              <w:t>GWP conversion factor, IPCC Fourth Assessment Report, Climate Change 2007</w:t>
            </w:r>
          </w:p>
        </w:tc>
      </w:tr>
      <w:tr w:rsidR="00150575" w14:paraId="6D2CFE82" w14:textId="77777777" w:rsidTr="00817EAC">
        <w:trPr>
          <w:trHeight w:val="283"/>
          <w:jc w:val="center"/>
        </w:trPr>
        <w:tc>
          <w:tcPr>
            <w:tcW w:w="1585" w:type="dxa"/>
            <w:vMerge/>
            <w:shd w:val="clear" w:color="auto" w:fill="F2F2F2" w:themeFill="background1" w:themeFillShade="F2"/>
            <w:vAlign w:val="center"/>
          </w:tcPr>
          <w:p w14:paraId="339EA738" w14:textId="77777777" w:rsidR="00150575" w:rsidRPr="00304FE5" w:rsidRDefault="00150575" w:rsidP="00150575">
            <w:pPr>
              <w:spacing w:after="0"/>
              <w:jc w:val="center"/>
              <w:rPr>
                <w:rFonts w:ascii="Calibri" w:eastAsia="Times New Roman" w:hAnsi="Calibri" w:cs="Times New Roman"/>
                <w:b/>
                <w:sz w:val="18"/>
                <w:szCs w:val="18"/>
                <w:lang w:val="en-US" w:eastAsia="fr-FR"/>
              </w:rPr>
            </w:pPr>
          </w:p>
        </w:tc>
        <w:tc>
          <w:tcPr>
            <w:tcW w:w="3715" w:type="dxa"/>
            <w:shd w:val="clear" w:color="auto" w:fill="F2F2F2" w:themeFill="background1" w:themeFillShade="F2"/>
            <w:vAlign w:val="center"/>
          </w:tcPr>
          <w:p w14:paraId="6881E74F" w14:textId="77777777" w:rsidR="00150575" w:rsidRPr="00304FE5" w:rsidRDefault="00150575" w:rsidP="00150575">
            <w:pPr>
              <w:spacing w:after="0"/>
              <w:jc w:val="left"/>
              <w:rPr>
                <w:rFonts w:ascii="Calibri" w:eastAsia="Times New Roman" w:hAnsi="Calibri" w:cs="Times New Roman"/>
                <w:bCs/>
                <w:color w:val="000000"/>
                <w:sz w:val="18"/>
                <w:szCs w:val="18"/>
                <w:lang w:eastAsia="it-IT"/>
              </w:rPr>
            </w:pPr>
            <w:r>
              <w:rPr>
                <w:rFonts w:ascii="Calibri" w:eastAsia="Times New Roman" w:hAnsi="Calibri" w:cs="Times New Roman"/>
                <w:bCs/>
                <w:sz w:val="18"/>
                <w:szCs w:val="18"/>
                <w:lang w:val="en-GB" w:eastAsia="fr-FR"/>
              </w:rPr>
              <w:t>1 t NO</w:t>
            </w:r>
            <w:r>
              <w:rPr>
                <w:rFonts w:ascii="Calibri" w:eastAsia="Times New Roman" w:hAnsi="Calibri" w:cs="Times New Roman"/>
                <w:bCs/>
                <w:sz w:val="18"/>
                <w:szCs w:val="18"/>
                <w:vertAlign w:val="subscript"/>
                <w:lang w:val="en-GB" w:eastAsia="fr-FR"/>
              </w:rPr>
              <w:t>2</w:t>
            </w:r>
            <w:r>
              <w:rPr>
                <w:rFonts w:ascii="Calibri" w:eastAsia="Times New Roman" w:hAnsi="Calibri" w:cs="Times New Roman"/>
                <w:bCs/>
                <w:sz w:val="18"/>
                <w:szCs w:val="18"/>
                <w:lang w:val="en-GB" w:eastAsia="fr-FR"/>
              </w:rPr>
              <w:t xml:space="preserve"> = 298 t CO</w:t>
            </w:r>
            <w:r w:rsidRPr="00E67816">
              <w:rPr>
                <w:rFonts w:ascii="Calibri" w:eastAsia="Times New Roman" w:hAnsi="Calibri" w:cs="Times New Roman"/>
                <w:bCs/>
                <w:sz w:val="18"/>
                <w:szCs w:val="18"/>
                <w:vertAlign w:val="subscript"/>
                <w:lang w:val="en-GB" w:eastAsia="fr-FR"/>
              </w:rPr>
              <w:t>2e</w:t>
            </w:r>
          </w:p>
        </w:tc>
        <w:tc>
          <w:tcPr>
            <w:tcW w:w="3716" w:type="dxa"/>
            <w:vMerge/>
            <w:shd w:val="clear" w:color="auto" w:fill="F2F2F2" w:themeFill="background1" w:themeFillShade="F2"/>
            <w:vAlign w:val="center"/>
          </w:tcPr>
          <w:p w14:paraId="5A93A4FA" w14:textId="18F16DD5" w:rsidR="00150575" w:rsidRPr="00304FE5" w:rsidRDefault="00150575" w:rsidP="00150575">
            <w:pPr>
              <w:spacing w:after="0"/>
              <w:jc w:val="left"/>
              <w:rPr>
                <w:rFonts w:ascii="Calibri" w:eastAsia="Times New Roman" w:hAnsi="Calibri" w:cs="Times New Roman"/>
                <w:bCs/>
                <w:color w:val="000000"/>
                <w:sz w:val="18"/>
                <w:szCs w:val="18"/>
                <w:lang w:eastAsia="it-IT"/>
              </w:rPr>
            </w:pPr>
          </w:p>
        </w:tc>
      </w:tr>
      <w:tr w:rsidR="00983625" w14:paraId="1D751B0E" w14:textId="77777777" w:rsidTr="0035559C">
        <w:trPr>
          <w:trHeight w:val="283"/>
          <w:jc w:val="center"/>
        </w:trPr>
        <w:tc>
          <w:tcPr>
            <w:tcW w:w="1585" w:type="dxa"/>
            <w:vMerge w:val="restart"/>
            <w:shd w:val="clear" w:color="auto" w:fill="FFFFFF" w:themeFill="background1"/>
            <w:vAlign w:val="center"/>
          </w:tcPr>
          <w:p w14:paraId="281EEE22" w14:textId="3005D960" w:rsidR="00983625" w:rsidRPr="00304FE5" w:rsidRDefault="00983625" w:rsidP="00150575">
            <w:pPr>
              <w:spacing w:after="0"/>
              <w:jc w:val="center"/>
              <w:rPr>
                <w:rFonts w:ascii="Calibri" w:eastAsia="Times New Roman" w:hAnsi="Calibri" w:cs="Times New Roman"/>
                <w:b/>
                <w:sz w:val="18"/>
                <w:szCs w:val="18"/>
                <w:lang w:val="en-US" w:eastAsia="fr-FR"/>
              </w:rPr>
            </w:pPr>
            <w:r>
              <w:rPr>
                <w:rFonts w:ascii="Calibri" w:eastAsia="Times New Roman" w:hAnsi="Calibri" w:cs="Times New Roman"/>
                <w:b/>
                <w:sz w:val="18"/>
                <w:szCs w:val="18"/>
                <w:lang w:val="en-US" w:eastAsia="fr-FR"/>
              </w:rPr>
              <w:t>Financial data</w:t>
            </w:r>
          </w:p>
        </w:tc>
        <w:tc>
          <w:tcPr>
            <w:tcW w:w="3715" w:type="dxa"/>
            <w:shd w:val="clear" w:color="auto" w:fill="FFFFFF" w:themeFill="background1"/>
            <w:vAlign w:val="center"/>
          </w:tcPr>
          <w:p w14:paraId="45A24DAA" w14:textId="32BA4D54" w:rsidR="00983625" w:rsidRDefault="00983625" w:rsidP="00150575">
            <w:pPr>
              <w:spacing w:after="0"/>
              <w:jc w:val="left"/>
              <w:rPr>
                <w:rFonts w:ascii="Calibri" w:eastAsia="Times New Roman" w:hAnsi="Calibri" w:cs="Times New Roman"/>
                <w:bCs/>
                <w:sz w:val="18"/>
                <w:szCs w:val="18"/>
                <w:lang w:eastAsia="fr-FR"/>
              </w:rPr>
            </w:pPr>
            <w:r>
              <w:rPr>
                <w:rFonts w:ascii="Calibri" w:eastAsia="Times New Roman" w:hAnsi="Calibri" w:cs="Times New Roman"/>
                <w:bCs/>
                <w:sz w:val="18"/>
                <w:szCs w:val="18"/>
                <w:lang w:eastAsia="fr-FR"/>
              </w:rPr>
              <w:t xml:space="preserve">1 £ = </w:t>
            </w:r>
            <w:r w:rsidRPr="00983625">
              <w:rPr>
                <w:rFonts w:ascii="Calibri" w:eastAsia="Times New Roman" w:hAnsi="Calibri" w:cs="Times New Roman"/>
                <w:bCs/>
                <w:sz w:val="18"/>
                <w:szCs w:val="18"/>
                <w:lang w:eastAsia="fr-FR"/>
              </w:rPr>
              <w:t>1</w:t>
            </w:r>
            <w:r>
              <w:rPr>
                <w:rFonts w:ascii="Calibri" w:eastAsia="Times New Roman" w:hAnsi="Calibri" w:cs="Times New Roman"/>
                <w:bCs/>
                <w:sz w:val="18"/>
                <w:szCs w:val="18"/>
                <w:lang w:eastAsia="fr-FR"/>
              </w:rPr>
              <w:t>.</w:t>
            </w:r>
            <w:r w:rsidRPr="00983625">
              <w:rPr>
                <w:rFonts w:ascii="Calibri" w:eastAsia="Times New Roman" w:hAnsi="Calibri" w:cs="Times New Roman"/>
                <w:bCs/>
                <w:sz w:val="18"/>
                <w:szCs w:val="18"/>
                <w:lang w:eastAsia="fr-FR"/>
              </w:rPr>
              <w:t>2494</w:t>
            </w:r>
            <w:r>
              <w:rPr>
                <w:rFonts w:ascii="Calibri" w:eastAsia="Times New Roman" w:hAnsi="Calibri" w:cs="Times New Roman"/>
                <w:bCs/>
                <w:sz w:val="18"/>
                <w:szCs w:val="18"/>
                <w:lang w:eastAsia="fr-FR"/>
              </w:rPr>
              <w:t xml:space="preserve"> USD</w:t>
            </w:r>
          </w:p>
        </w:tc>
        <w:tc>
          <w:tcPr>
            <w:tcW w:w="3716" w:type="dxa"/>
            <w:shd w:val="clear" w:color="auto" w:fill="FFFFFF" w:themeFill="background1"/>
            <w:vAlign w:val="center"/>
          </w:tcPr>
          <w:p w14:paraId="7E8A5F40" w14:textId="52CE3302" w:rsidR="00983625" w:rsidRPr="00304FE5" w:rsidRDefault="00000000" w:rsidP="00150575">
            <w:pPr>
              <w:spacing w:after="0"/>
              <w:jc w:val="left"/>
              <w:rPr>
                <w:rFonts w:ascii="Calibri" w:eastAsia="Times New Roman" w:hAnsi="Calibri" w:cs="Times New Roman"/>
                <w:bCs/>
                <w:color w:val="000000"/>
                <w:sz w:val="18"/>
                <w:szCs w:val="18"/>
                <w:lang w:eastAsia="it-IT"/>
              </w:rPr>
            </w:pPr>
            <w:hyperlink r:id="rId17" w:history="1">
              <w:r w:rsidR="00983625" w:rsidRPr="00983625">
                <w:rPr>
                  <w:rStyle w:val="Hyperlink"/>
                  <w:rFonts w:ascii="Calibri" w:eastAsia="Times New Roman" w:hAnsi="Calibri" w:cs="Times New Roman"/>
                  <w:bCs/>
                  <w:sz w:val="18"/>
                  <w:szCs w:val="18"/>
                  <w:lang w:eastAsia="it-IT"/>
                </w:rPr>
                <w:t>XE Converter website</w:t>
              </w:r>
            </w:hyperlink>
          </w:p>
        </w:tc>
      </w:tr>
      <w:tr w:rsidR="00983625" w14:paraId="1EE3135A" w14:textId="77777777" w:rsidTr="006249AF">
        <w:trPr>
          <w:trHeight w:val="283"/>
          <w:jc w:val="center"/>
        </w:trPr>
        <w:tc>
          <w:tcPr>
            <w:tcW w:w="1585" w:type="dxa"/>
            <w:vMerge/>
            <w:shd w:val="clear" w:color="auto" w:fill="FFFFFF" w:themeFill="background1"/>
            <w:vAlign w:val="center"/>
          </w:tcPr>
          <w:p w14:paraId="42D44136" w14:textId="77777777" w:rsidR="00983625" w:rsidRDefault="00983625" w:rsidP="00150575">
            <w:pPr>
              <w:spacing w:after="0"/>
              <w:jc w:val="center"/>
              <w:rPr>
                <w:rFonts w:ascii="Calibri" w:eastAsia="Times New Roman" w:hAnsi="Calibri" w:cs="Times New Roman"/>
                <w:b/>
                <w:sz w:val="18"/>
                <w:szCs w:val="18"/>
                <w:lang w:val="en-US" w:eastAsia="fr-FR"/>
              </w:rPr>
            </w:pPr>
          </w:p>
        </w:tc>
        <w:tc>
          <w:tcPr>
            <w:tcW w:w="3715" w:type="dxa"/>
            <w:shd w:val="clear" w:color="auto" w:fill="FFFFFF" w:themeFill="background1"/>
            <w:vAlign w:val="center"/>
          </w:tcPr>
          <w:p w14:paraId="63D69593" w14:textId="7F9F90DC" w:rsidR="00983625" w:rsidRDefault="00983625" w:rsidP="00150575">
            <w:pPr>
              <w:spacing w:after="0"/>
              <w:jc w:val="left"/>
              <w:rPr>
                <w:rFonts w:ascii="Calibri" w:eastAsia="Times New Roman" w:hAnsi="Calibri" w:cs="Times New Roman"/>
                <w:bCs/>
                <w:sz w:val="18"/>
                <w:szCs w:val="18"/>
                <w:lang w:eastAsia="fr-FR"/>
              </w:rPr>
            </w:pPr>
            <w:r>
              <w:rPr>
                <w:rFonts w:ascii="Calibri" w:eastAsia="Times New Roman" w:hAnsi="Calibri" w:cs="Times New Roman"/>
                <w:bCs/>
                <w:sz w:val="18"/>
                <w:szCs w:val="18"/>
                <w:lang w:eastAsia="fr-FR"/>
              </w:rPr>
              <w:t xml:space="preserve">1 € = </w:t>
            </w:r>
            <w:r w:rsidRPr="00983625">
              <w:rPr>
                <w:rFonts w:ascii="Calibri" w:eastAsia="Times New Roman" w:hAnsi="Calibri" w:cs="Times New Roman"/>
                <w:bCs/>
                <w:sz w:val="18"/>
                <w:szCs w:val="18"/>
                <w:lang w:eastAsia="fr-FR"/>
              </w:rPr>
              <w:t>1</w:t>
            </w:r>
            <w:r>
              <w:rPr>
                <w:rFonts w:ascii="Calibri" w:eastAsia="Times New Roman" w:hAnsi="Calibri" w:cs="Times New Roman"/>
                <w:bCs/>
                <w:sz w:val="18"/>
                <w:szCs w:val="18"/>
                <w:lang w:eastAsia="fr-FR"/>
              </w:rPr>
              <w:t>.</w:t>
            </w:r>
            <w:r w:rsidRPr="00983625">
              <w:rPr>
                <w:rFonts w:ascii="Calibri" w:eastAsia="Times New Roman" w:hAnsi="Calibri" w:cs="Times New Roman"/>
                <w:bCs/>
                <w:sz w:val="18"/>
                <w:szCs w:val="18"/>
                <w:lang w:eastAsia="fr-FR"/>
              </w:rPr>
              <w:t>1117</w:t>
            </w:r>
            <w:r>
              <w:rPr>
                <w:rFonts w:ascii="Calibri" w:eastAsia="Times New Roman" w:hAnsi="Calibri" w:cs="Times New Roman"/>
                <w:bCs/>
                <w:sz w:val="18"/>
                <w:szCs w:val="18"/>
                <w:lang w:eastAsia="fr-FR"/>
              </w:rPr>
              <w:t xml:space="preserve"> USD</w:t>
            </w:r>
          </w:p>
        </w:tc>
        <w:tc>
          <w:tcPr>
            <w:tcW w:w="3716" w:type="dxa"/>
            <w:shd w:val="clear" w:color="auto" w:fill="FFFFFF" w:themeFill="background1"/>
            <w:vAlign w:val="center"/>
          </w:tcPr>
          <w:p w14:paraId="3A3503E4" w14:textId="37E27209" w:rsidR="00983625" w:rsidRPr="00304FE5" w:rsidRDefault="00000000" w:rsidP="00150575">
            <w:pPr>
              <w:spacing w:after="0"/>
              <w:jc w:val="left"/>
              <w:rPr>
                <w:rFonts w:ascii="Calibri" w:eastAsia="Times New Roman" w:hAnsi="Calibri" w:cs="Times New Roman"/>
                <w:bCs/>
                <w:color w:val="000000"/>
                <w:sz w:val="18"/>
                <w:szCs w:val="18"/>
                <w:lang w:eastAsia="it-IT"/>
              </w:rPr>
            </w:pPr>
            <w:hyperlink r:id="rId18" w:history="1">
              <w:r w:rsidR="00983625" w:rsidRPr="00983625">
                <w:rPr>
                  <w:rStyle w:val="Hyperlink"/>
                  <w:rFonts w:ascii="Calibri" w:eastAsia="Times New Roman" w:hAnsi="Calibri" w:cs="Times New Roman"/>
                  <w:bCs/>
                  <w:sz w:val="18"/>
                  <w:szCs w:val="18"/>
                  <w:lang w:eastAsia="it-IT"/>
                </w:rPr>
                <w:t>XE Converter website</w:t>
              </w:r>
            </w:hyperlink>
          </w:p>
        </w:tc>
      </w:tr>
      <w:tr w:rsidR="00983625" w14:paraId="47003C09" w14:textId="77777777" w:rsidTr="006249AF">
        <w:trPr>
          <w:trHeight w:val="283"/>
          <w:jc w:val="center"/>
        </w:trPr>
        <w:tc>
          <w:tcPr>
            <w:tcW w:w="1585" w:type="dxa"/>
            <w:vMerge/>
            <w:shd w:val="clear" w:color="auto" w:fill="FFFFFF" w:themeFill="background1"/>
            <w:vAlign w:val="center"/>
          </w:tcPr>
          <w:p w14:paraId="5B21F94E" w14:textId="77777777" w:rsidR="00983625" w:rsidRDefault="00983625" w:rsidP="00150575">
            <w:pPr>
              <w:spacing w:after="0"/>
              <w:jc w:val="center"/>
              <w:rPr>
                <w:rFonts w:ascii="Calibri" w:eastAsia="Times New Roman" w:hAnsi="Calibri" w:cs="Times New Roman"/>
                <w:b/>
                <w:sz w:val="18"/>
                <w:szCs w:val="18"/>
                <w:lang w:val="en-US" w:eastAsia="fr-FR"/>
              </w:rPr>
            </w:pPr>
          </w:p>
        </w:tc>
        <w:tc>
          <w:tcPr>
            <w:tcW w:w="3715" w:type="dxa"/>
            <w:shd w:val="clear" w:color="auto" w:fill="FFFFFF" w:themeFill="background1"/>
            <w:vAlign w:val="center"/>
          </w:tcPr>
          <w:p w14:paraId="41661D72" w14:textId="636D9FFD" w:rsidR="00983625" w:rsidRDefault="00983625" w:rsidP="00150575">
            <w:pPr>
              <w:spacing w:after="0"/>
              <w:jc w:val="left"/>
              <w:rPr>
                <w:rFonts w:ascii="Calibri" w:eastAsia="Times New Roman" w:hAnsi="Calibri" w:cs="Times New Roman"/>
                <w:bCs/>
                <w:sz w:val="18"/>
                <w:szCs w:val="18"/>
                <w:lang w:eastAsia="fr-FR"/>
              </w:rPr>
            </w:pPr>
            <w:r>
              <w:rPr>
                <w:rFonts w:ascii="Calibri" w:eastAsia="Times New Roman" w:hAnsi="Calibri" w:cs="Times New Roman"/>
                <w:bCs/>
                <w:sz w:val="18"/>
                <w:szCs w:val="18"/>
                <w:lang w:eastAsia="fr-FR"/>
              </w:rPr>
              <w:t xml:space="preserve">1 BRL = </w:t>
            </w:r>
            <w:r w:rsidRPr="00983625">
              <w:rPr>
                <w:rFonts w:ascii="Calibri" w:eastAsia="Times New Roman" w:hAnsi="Calibri" w:cs="Times New Roman"/>
                <w:bCs/>
                <w:sz w:val="18"/>
                <w:szCs w:val="18"/>
                <w:lang w:eastAsia="fr-FR"/>
              </w:rPr>
              <w:t>0</w:t>
            </w:r>
            <w:r>
              <w:rPr>
                <w:rFonts w:ascii="Calibri" w:eastAsia="Times New Roman" w:hAnsi="Calibri" w:cs="Times New Roman"/>
                <w:bCs/>
                <w:sz w:val="18"/>
                <w:szCs w:val="18"/>
                <w:lang w:eastAsia="fr-FR"/>
              </w:rPr>
              <w:t>.</w:t>
            </w:r>
            <w:r w:rsidRPr="00983625">
              <w:rPr>
                <w:rFonts w:ascii="Calibri" w:eastAsia="Times New Roman" w:hAnsi="Calibri" w:cs="Times New Roman"/>
                <w:bCs/>
                <w:sz w:val="18"/>
                <w:szCs w:val="18"/>
                <w:lang w:eastAsia="fr-FR"/>
              </w:rPr>
              <w:t>2099</w:t>
            </w:r>
            <w:r>
              <w:rPr>
                <w:rFonts w:ascii="Calibri" w:eastAsia="Times New Roman" w:hAnsi="Calibri" w:cs="Times New Roman"/>
                <w:bCs/>
                <w:sz w:val="18"/>
                <w:szCs w:val="18"/>
                <w:lang w:eastAsia="fr-FR"/>
              </w:rPr>
              <w:t xml:space="preserve"> USD</w:t>
            </w:r>
          </w:p>
        </w:tc>
        <w:tc>
          <w:tcPr>
            <w:tcW w:w="3716" w:type="dxa"/>
            <w:shd w:val="clear" w:color="auto" w:fill="FFFFFF" w:themeFill="background1"/>
            <w:vAlign w:val="center"/>
          </w:tcPr>
          <w:p w14:paraId="05847EC7" w14:textId="053DA189" w:rsidR="00983625" w:rsidRPr="00304FE5" w:rsidRDefault="00000000" w:rsidP="00150575">
            <w:pPr>
              <w:spacing w:after="0"/>
              <w:jc w:val="left"/>
              <w:rPr>
                <w:rFonts w:ascii="Calibri" w:eastAsia="Times New Roman" w:hAnsi="Calibri" w:cs="Times New Roman"/>
                <w:bCs/>
                <w:color w:val="000000"/>
                <w:sz w:val="18"/>
                <w:szCs w:val="18"/>
                <w:lang w:eastAsia="it-IT"/>
              </w:rPr>
            </w:pPr>
            <w:hyperlink r:id="rId19" w:history="1">
              <w:r w:rsidR="00983625" w:rsidRPr="00983625">
                <w:rPr>
                  <w:rStyle w:val="Hyperlink"/>
                  <w:rFonts w:ascii="Calibri" w:eastAsia="Times New Roman" w:hAnsi="Calibri" w:cs="Times New Roman"/>
                  <w:bCs/>
                  <w:sz w:val="18"/>
                  <w:szCs w:val="18"/>
                  <w:lang w:eastAsia="it-IT"/>
                </w:rPr>
                <w:t>XE Converter website</w:t>
              </w:r>
            </w:hyperlink>
          </w:p>
        </w:tc>
      </w:tr>
      <w:tr w:rsidR="005945EE" w14:paraId="22168F2B" w14:textId="77777777" w:rsidTr="006249AF">
        <w:trPr>
          <w:trHeight w:val="283"/>
          <w:jc w:val="center"/>
        </w:trPr>
        <w:tc>
          <w:tcPr>
            <w:tcW w:w="1585" w:type="dxa"/>
            <w:vMerge/>
            <w:shd w:val="clear" w:color="auto" w:fill="FFFFFF" w:themeFill="background1"/>
            <w:vAlign w:val="center"/>
          </w:tcPr>
          <w:p w14:paraId="0A697955" w14:textId="77777777" w:rsidR="005945EE" w:rsidRDefault="005945EE" w:rsidP="005945EE">
            <w:pPr>
              <w:spacing w:after="0"/>
              <w:jc w:val="center"/>
              <w:rPr>
                <w:rFonts w:ascii="Calibri" w:eastAsia="Times New Roman" w:hAnsi="Calibri" w:cs="Times New Roman"/>
                <w:b/>
                <w:sz w:val="18"/>
                <w:szCs w:val="18"/>
                <w:lang w:val="en-US" w:eastAsia="fr-FR"/>
              </w:rPr>
            </w:pPr>
          </w:p>
        </w:tc>
        <w:tc>
          <w:tcPr>
            <w:tcW w:w="3715" w:type="dxa"/>
            <w:shd w:val="clear" w:color="auto" w:fill="FFFFFF" w:themeFill="background1"/>
            <w:vAlign w:val="center"/>
          </w:tcPr>
          <w:p w14:paraId="0B606369" w14:textId="27E68CAE" w:rsidR="005945EE" w:rsidRDefault="005945EE" w:rsidP="005945EE">
            <w:pPr>
              <w:spacing w:after="0"/>
              <w:jc w:val="left"/>
              <w:rPr>
                <w:rFonts w:ascii="Calibri" w:eastAsia="Times New Roman" w:hAnsi="Calibri" w:cs="Times New Roman"/>
                <w:bCs/>
                <w:sz w:val="18"/>
                <w:szCs w:val="18"/>
                <w:lang w:eastAsia="fr-FR"/>
              </w:rPr>
            </w:pPr>
            <w:r>
              <w:rPr>
                <w:rFonts w:ascii="Calibri" w:eastAsia="Times New Roman" w:hAnsi="Calibri" w:cs="Times New Roman"/>
                <w:bCs/>
                <w:sz w:val="18"/>
                <w:szCs w:val="18"/>
                <w:lang w:eastAsia="fr-FR"/>
              </w:rPr>
              <w:t xml:space="preserve">1 CNY = </w:t>
            </w:r>
            <w:r w:rsidRPr="005945EE">
              <w:rPr>
                <w:rFonts w:ascii="Calibri" w:eastAsia="Times New Roman" w:hAnsi="Calibri" w:cs="Times New Roman"/>
                <w:bCs/>
                <w:sz w:val="18"/>
                <w:szCs w:val="18"/>
                <w:lang w:eastAsia="fr-FR"/>
              </w:rPr>
              <w:t>0</w:t>
            </w:r>
            <w:r>
              <w:rPr>
                <w:rFonts w:ascii="Calibri" w:eastAsia="Times New Roman" w:hAnsi="Calibri" w:cs="Times New Roman"/>
                <w:bCs/>
                <w:sz w:val="18"/>
                <w:szCs w:val="18"/>
                <w:lang w:eastAsia="fr-FR"/>
              </w:rPr>
              <w:t>.</w:t>
            </w:r>
            <w:r w:rsidRPr="005945EE">
              <w:rPr>
                <w:rFonts w:ascii="Calibri" w:eastAsia="Times New Roman" w:hAnsi="Calibri" w:cs="Times New Roman"/>
                <w:bCs/>
                <w:sz w:val="18"/>
                <w:szCs w:val="18"/>
                <w:lang w:eastAsia="fr-FR"/>
              </w:rPr>
              <w:t>142722</w:t>
            </w:r>
            <w:r>
              <w:rPr>
                <w:rFonts w:ascii="Calibri" w:eastAsia="Times New Roman" w:hAnsi="Calibri" w:cs="Times New Roman"/>
                <w:bCs/>
                <w:sz w:val="18"/>
                <w:szCs w:val="18"/>
                <w:lang w:eastAsia="fr-FR"/>
              </w:rPr>
              <w:t xml:space="preserve"> USD</w:t>
            </w:r>
          </w:p>
        </w:tc>
        <w:tc>
          <w:tcPr>
            <w:tcW w:w="3716" w:type="dxa"/>
            <w:shd w:val="clear" w:color="auto" w:fill="FFFFFF" w:themeFill="background1"/>
            <w:vAlign w:val="center"/>
          </w:tcPr>
          <w:p w14:paraId="0BD26919" w14:textId="7B5980EE" w:rsidR="005945EE" w:rsidRDefault="00000000" w:rsidP="005945EE">
            <w:pPr>
              <w:spacing w:after="0"/>
              <w:jc w:val="left"/>
              <w:rPr>
                <w:rFonts w:ascii="Calibri" w:eastAsia="Times New Roman" w:hAnsi="Calibri" w:cs="Times New Roman"/>
                <w:bCs/>
                <w:color w:val="000000"/>
                <w:sz w:val="18"/>
                <w:szCs w:val="18"/>
                <w:lang w:eastAsia="it-IT"/>
              </w:rPr>
            </w:pPr>
            <w:hyperlink r:id="rId20" w:history="1">
              <w:r w:rsidR="005945EE" w:rsidRPr="00983625">
                <w:rPr>
                  <w:rStyle w:val="Hyperlink"/>
                  <w:rFonts w:ascii="Calibri" w:eastAsia="Times New Roman" w:hAnsi="Calibri" w:cs="Times New Roman"/>
                  <w:bCs/>
                  <w:sz w:val="18"/>
                  <w:szCs w:val="18"/>
                  <w:lang w:eastAsia="it-IT"/>
                </w:rPr>
                <w:t>XE Converter website</w:t>
              </w:r>
            </w:hyperlink>
          </w:p>
        </w:tc>
      </w:tr>
    </w:tbl>
    <w:p w14:paraId="0325DADA" w14:textId="77777777" w:rsidR="00302594" w:rsidRPr="00651F13" w:rsidRDefault="00302594" w:rsidP="00302594">
      <w:pPr>
        <w:rPr>
          <w:lang w:eastAsia="fr-FR"/>
        </w:rPr>
      </w:pPr>
    </w:p>
    <w:p w14:paraId="0F417B64" w14:textId="77777777" w:rsidR="00817F06" w:rsidRDefault="00817F06">
      <w:pPr>
        <w:spacing w:after="0" w:line="276" w:lineRule="auto"/>
        <w:jc w:val="left"/>
        <w:rPr>
          <w:rFonts w:cstheme="minorHAnsi"/>
          <w:b/>
          <w:color w:val="365F91" w:themeColor="accent1" w:themeShade="BF"/>
          <w:sz w:val="32"/>
          <w:szCs w:val="20"/>
          <w:lang w:eastAsia="fr-FR"/>
        </w:rPr>
      </w:pPr>
      <w:r>
        <w:rPr>
          <w:lang w:eastAsia="fr-FR"/>
        </w:rPr>
        <w:br w:type="page"/>
      </w:r>
    </w:p>
    <w:p w14:paraId="55A6198F" w14:textId="46A7C97A" w:rsidR="00817F06" w:rsidRDefault="00817F06" w:rsidP="00817F06">
      <w:pPr>
        <w:pStyle w:val="Heading1"/>
        <w:numPr>
          <w:ilvl w:val="0"/>
          <w:numId w:val="0"/>
        </w:numPr>
        <w:ind w:left="432"/>
        <w:rPr>
          <w:lang w:eastAsia="fr-FR"/>
        </w:rPr>
      </w:pPr>
      <w:bookmarkStart w:id="22" w:name="_Ref19182232"/>
      <w:bookmarkStart w:id="23" w:name="_Ref19182238"/>
      <w:bookmarkStart w:id="24" w:name="_Toc97226724"/>
      <w:r>
        <w:rPr>
          <w:lang w:eastAsia="fr-FR"/>
        </w:rPr>
        <w:lastRenderedPageBreak/>
        <w:t xml:space="preserve">Appendix </w:t>
      </w:r>
      <w:r w:rsidR="00811483">
        <w:rPr>
          <w:lang w:eastAsia="fr-FR"/>
        </w:rPr>
        <w:t>C</w:t>
      </w:r>
      <w:r>
        <w:rPr>
          <w:lang w:eastAsia="fr-FR"/>
        </w:rPr>
        <w:t xml:space="preserve"> – Methodologies and guidance for estimating GHG emissions</w:t>
      </w:r>
      <w:bookmarkEnd w:id="22"/>
      <w:bookmarkEnd w:id="23"/>
      <w:bookmarkEnd w:id="24"/>
    </w:p>
    <w:p w14:paraId="0DD62828" w14:textId="77777777" w:rsidR="00022444" w:rsidRPr="00655DE2" w:rsidRDefault="00022444" w:rsidP="00022444">
      <w:pPr>
        <w:rPr>
          <w:rFonts w:ascii="Calibri" w:eastAsia="Times New Roman" w:hAnsi="Calibri" w:cs="Times New Roman"/>
          <w:szCs w:val="20"/>
          <w:lang w:eastAsia="fr-FR"/>
        </w:rPr>
      </w:pPr>
      <w:bookmarkStart w:id="25" w:name="_Ref395002228"/>
      <w:r>
        <w:rPr>
          <w:rFonts w:ascii="Calibri" w:eastAsia="Times New Roman" w:hAnsi="Calibri" w:cs="Times New Roman"/>
          <w:szCs w:val="20"/>
          <w:lang w:eastAsia="fr-FR"/>
        </w:rPr>
        <w:t xml:space="preserve">This Appendix contains reference material that can be useful for estimating GHG emissions. It does not represent the methods that each member company </w:t>
      </w:r>
      <w:proofErr w:type="gramStart"/>
      <w:r>
        <w:rPr>
          <w:rFonts w:ascii="Calibri" w:eastAsia="Times New Roman" w:hAnsi="Calibri" w:cs="Times New Roman"/>
          <w:szCs w:val="20"/>
          <w:lang w:eastAsia="fr-FR"/>
        </w:rPr>
        <w:t>actually applies</w:t>
      </w:r>
      <w:proofErr w:type="gramEnd"/>
      <w:r>
        <w:rPr>
          <w:rFonts w:ascii="Calibri" w:eastAsia="Times New Roman" w:hAnsi="Calibri" w:cs="Times New Roman"/>
          <w:szCs w:val="20"/>
          <w:lang w:eastAsia="fr-FR"/>
        </w:rPr>
        <w:t xml:space="preserve"> in estimating its GHG emissions for OGCI reporting purposes.</w:t>
      </w:r>
    </w:p>
    <w:p w14:paraId="5A850F4C" w14:textId="33731BA5" w:rsidR="00185541" w:rsidRPr="00B07C95" w:rsidRDefault="00185541" w:rsidP="00192950">
      <w:pPr>
        <w:pStyle w:val="Heading2"/>
        <w:numPr>
          <w:ilvl w:val="0"/>
          <w:numId w:val="0"/>
        </w:numPr>
      </w:pPr>
      <w:r w:rsidRPr="00B07C95">
        <w:t>Materiality threshold</w:t>
      </w:r>
      <w:bookmarkEnd w:id="25"/>
    </w:p>
    <w:p w14:paraId="3DA8CE45" w14:textId="325B1FBC" w:rsidR="00185541" w:rsidRPr="00B07C95" w:rsidRDefault="00185541" w:rsidP="00185541">
      <w:pPr>
        <w:rPr>
          <w:rFonts w:ascii="Calibri" w:eastAsia="Times New Roman" w:hAnsi="Calibri" w:cs="Times New Roman"/>
          <w:szCs w:val="20"/>
          <w:lang w:eastAsia="fr-FR"/>
        </w:rPr>
      </w:pPr>
      <w:r w:rsidRPr="00B07C95">
        <w:rPr>
          <w:rFonts w:ascii="Calibri" w:eastAsia="Times New Roman" w:hAnsi="Calibri" w:cs="Times New Roman"/>
          <w:szCs w:val="20"/>
          <w:lang w:eastAsia="fr-FR"/>
        </w:rPr>
        <w:t xml:space="preserve">The </w:t>
      </w:r>
      <w:r w:rsidR="0085155F">
        <w:rPr>
          <w:rFonts w:ascii="Calibri" w:eastAsia="Times New Roman" w:hAnsi="Calibri" w:cs="Times New Roman"/>
          <w:szCs w:val="20"/>
          <w:lang w:eastAsia="fr-FR"/>
        </w:rPr>
        <w:t>c</w:t>
      </w:r>
      <w:r w:rsidRPr="00B07C95">
        <w:rPr>
          <w:rFonts w:ascii="Calibri" w:eastAsia="Times New Roman" w:hAnsi="Calibri" w:cs="Times New Roman"/>
          <w:szCs w:val="20"/>
          <w:lang w:eastAsia="fr-FR"/>
        </w:rPr>
        <w:t xml:space="preserve">ompany should seek completeness of reporting. </w:t>
      </w:r>
      <w:r w:rsidR="00565A46">
        <w:rPr>
          <w:rFonts w:ascii="Calibri" w:eastAsia="Times New Roman" w:hAnsi="Calibri" w:cs="Times New Roman"/>
          <w:szCs w:val="20"/>
          <w:lang w:eastAsia="fr-FR"/>
        </w:rPr>
        <w:t>S</w:t>
      </w:r>
      <w:r w:rsidR="00CC2F28">
        <w:rPr>
          <w:rFonts w:ascii="Calibri" w:eastAsia="Times New Roman" w:hAnsi="Calibri" w:cs="Times New Roman"/>
          <w:szCs w:val="20"/>
          <w:lang w:eastAsia="fr-FR"/>
        </w:rPr>
        <w:t>etting a materiality threshold is not recommended.</w:t>
      </w:r>
    </w:p>
    <w:p w14:paraId="0FFE09FB" w14:textId="77777777" w:rsidR="00185541" w:rsidRPr="00B07C95" w:rsidRDefault="00185541" w:rsidP="00192950">
      <w:pPr>
        <w:pStyle w:val="Heading2"/>
        <w:numPr>
          <w:ilvl w:val="0"/>
          <w:numId w:val="0"/>
        </w:numPr>
      </w:pPr>
      <w:bookmarkStart w:id="26" w:name="_Toc311818872"/>
      <w:bookmarkStart w:id="27" w:name="_Toc363205373"/>
      <w:r w:rsidRPr="00B07C95">
        <w:t>Methods of quantifying indicators</w:t>
      </w:r>
      <w:bookmarkEnd w:id="26"/>
      <w:bookmarkEnd w:id="27"/>
    </w:p>
    <w:p w14:paraId="1FD19EA7" w14:textId="77777777" w:rsidR="00185541" w:rsidRPr="00342DFA" w:rsidRDefault="00185541" w:rsidP="00185541">
      <w:pPr>
        <w:rPr>
          <w:rFonts w:ascii="Calibri" w:eastAsia="Times New Roman" w:hAnsi="Calibri" w:cs="Times New Roman"/>
          <w:szCs w:val="20"/>
          <w:lang w:eastAsia="fr-FR"/>
        </w:rPr>
      </w:pPr>
      <w:r w:rsidRPr="00342DFA">
        <w:rPr>
          <w:rFonts w:ascii="Calibri" w:eastAsia="Times New Roman" w:hAnsi="Calibri" w:cs="Times New Roman"/>
          <w:szCs w:val="20"/>
          <w:lang w:eastAsia="fr-FR"/>
        </w:rPr>
        <w:t>For topics tackled by the Initiative associated with quantitative indicators, several methods of quantification are possible. These methods can be divided into several categories. A degree of accuracy generally corresponds with each category.  Three main categories are distinguished, and presented below by declining accuracy level:</w:t>
      </w:r>
    </w:p>
    <w:p w14:paraId="47C0368C" w14:textId="3EA438B5" w:rsidR="00185541" w:rsidRPr="00342DFA" w:rsidRDefault="00185541" w:rsidP="006806B4">
      <w:pPr>
        <w:numPr>
          <w:ilvl w:val="0"/>
          <w:numId w:val="3"/>
        </w:numPr>
        <w:rPr>
          <w:rFonts w:ascii="Calibri" w:eastAsia="Times New Roman" w:hAnsi="Calibri" w:cs="Times New Roman"/>
          <w:szCs w:val="20"/>
          <w:lang w:eastAsia="fr-FR"/>
        </w:rPr>
      </w:pPr>
      <w:r w:rsidRPr="00342DFA">
        <w:rPr>
          <w:rFonts w:ascii="Calibri" w:eastAsia="Times New Roman" w:hAnsi="Calibri" w:cs="Times New Roman"/>
          <w:szCs w:val="20"/>
          <w:lang w:eastAsia="fr-FR"/>
        </w:rPr>
        <w:t xml:space="preserve">Methods based on </w:t>
      </w:r>
      <w:r w:rsidRPr="00342DFA">
        <w:rPr>
          <w:rFonts w:ascii="Calibri" w:eastAsia="Times New Roman" w:hAnsi="Calibri" w:cs="Times New Roman"/>
          <w:b/>
          <w:szCs w:val="20"/>
          <w:lang w:eastAsia="fr-FR"/>
        </w:rPr>
        <w:t>measurements</w:t>
      </w:r>
      <w:r w:rsidRPr="00342DFA">
        <w:rPr>
          <w:rFonts w:ascii="Calibri" w:eastAsia="Times New Roman" w:hAnsi="Calibri" w:cs="Times New Roman"/>
          <w:szCs w:val="20"/>
          <w:lang w:eastAsia="fr-FR"/>
        </w:rPr>
        <w:t xml:space="preserve">. This method is based on instrumentation allowing measuring a flow, </w:t>
      </w:r>
      <w:proofErr w:type="gramStart"/>
      <w:r w:rsidRPr="00342DFA">
        <w:rPr>
          <w:rFonts w:ascii="Calibri" w:eastAsia="Times New Roman" w:hAnsi="Calibri" w:cs="Times New Roman"/>
          <w:szCs w:val="20"/>
          <w:lang w:eastAsia="fr-FR"/>
        </w:rPr>
        <w:t>consumption</w:t>
      </w:r>
      <w:proofErr w:type="gramEnd"/>
      <w:r w:rsidRPr="00342DFA">
        <w:rPr>
          <w:rFonts w:ascii="Calibri" w:eastAsia="Times New Roman" w:hAnsi="Calibri" w:cs="Times New Roman"/>
          <w:szCs w:val="20"/>
          <w:lang w:eastAsia="fr-FR"/>
        </w:rPr>
        <w:t xml:space="preserve"> or a production of one or several parameters used in the reporting of the indicator. For instance, the greenhouse gases, the methods in which the emissions are calculated from the measurement of fuel multiplied by a specific emission factor are assimilated to this situation (</w:t>
      </w:r>
      <w:r w:rsidR="00ED6F34" w:rsidRPr="00342DFA">
        <w:rPr>
          <w:rFonts w:ascii="Calibri" w:eastAsia="Times New Roman" w:hAnsi="Calibri" w:cs="Times New Roman"/>
          <w:szCs w:val="20"/>
          <w:lang w:eastAsia="fr-FR"/>
        </w:rPr>
        <w:t>e.g.</w:t>
      </w:r>
      <w:r w:rsidRPr="00342DFA">
        <w:rPr>
          <w:rFonts w:ascii="Calibri" w:eastAsia="Times New Roman" w:hAnsi="Calibri" w:cs="Times New Roman"/>
          <w:szCs w:val="20"/>
          <w:lang w:eastAsia="fr-FR"/>
        </w:rPr>
        <w:t>: measured carbon content based on sampling).</w:t>
      </w:r>
    </w:p>
    <w:p w14:paraId="33F97672" w14:textId="7EDE85CF" w:rsidR="00185541" w:rsidRPr="00342DFA" w:rsidRDefault="00185541" w:rsidP="006806B4">
      <w:pPr>
        <w:numPr>
          <w:ilvl w:val="0"/>
          <w:numId w:val="3"/>
        </w:numPr>
        <w:rPr>
          <w:rFonts w:ascii="Calibri" w:eastAsia="Times New Roman" w:hAnsi="Calibri" w:cs="Times New Roman"/>
          <w:szCs w:val="20"/>
          <w:lang w:eastAsia="fr-FR"/>
        </w:rPr>
      </w:pPr>
      <w:r w:rsidRPr="00342DFA">
        <w:rPr>
          <w:rFonts w:ascii="Calibri" w:eastAsia="Times New Roman" w:hAnsi="Calibri" w:cs="Times New Roman"/>
          <w:szCs w:val="20"/>
          <w:lang w:eastAsia="fr-FR"/>
        </w:rPr>
        <w:t xml:space="preserve">Methods based on </w:t>
      </w:r>
      <w:r w:rsidRPr="00342DFA">
        <w:rPr>
          <w:rFonts w:ascii="Calibri" w:eastAsia="Times New Roman" w:hAnsi="Calibri" w:cs="Times New Roman"/>
          <w:b/>
          <w:szCs w:val="20"/>
          <w:lang w:eastAsia="fr-FR"/>
        </w:rPr>
        <w:t>calculations</w:t>
      </w:r>
      <w:r w:rsidRPr="00342DFA">
        <w:rPr>
          <w:rFonts w:ascii="Calibri" w:eastAsia="Times New Roman" w:hAnsi="Calibri" w:cs="Times New Roman"/>
          <w:szCs w:val="20"/>
          <w:lang w:eastAsia="fr-FR"/>
        </w:rPr>
        <w:t xml:space="preserve"> or using calculation </w:t>
      </w:r>
      <w:r w:rsidRPr="00844BD6">
        <w:rPr>
          <w:rFonts w:ascii="Calibri" w:eastAsia="Times New Roman" w:hAnsi="Calibri" w:cs="Times New Roman"/>
          <w:szCs w:val="20"/>
          <w:lang w:eastAsia="fr-FR"/>
        </w:rPr>
        <w:t>factors</w:t>
      </w:r>
      <w:r w:rsidR="00811483" w:rsidRPr="00844BD6">
        <w:rPr>
          <w:rFonts w:ascii="Calibri" w:eastAsia="Times New Roman" w:hAnsi="Calibri" w:cs="Times New Roman"/>
          <w:szCs w:val="20"/>
          <w:lang w:eastAsia="fr-FR"/>
        </w:rPr>
        <w:t xml:space="preserve"> (See Appendix B)</w:t>
      </w:r>
      <w:r w:rsidRPr="00844BD6">
        <w:rPr>
          <w:rFonts w:ascii="Calibri" w:eastAsia="Times New Roman" w:hAnsi="Calibri" w:cs="Times New Roman"/>
          <w:szCs w:val="20"/>
          <w:lang w:eastAsia="fr-FR"/>
        </w:rPr>
        <w:t>. For insta</w:t>
      </w:r>
      <w:r w:rsidRPr="00342DFA">
        <w:rPr>
          <w:rFonts w:ascii="Calibri" w:eastAsia="Times New Roman" w:hAnsi="Calibri" w:cs="Times New Roman"/>
          <w:szCs w:val="20"/>
          <w:lang w:eastAsia="fr-FR"/>
        </w:rPr>
        <w:t>nce, for the greenhouse gases, emission factors can be used. The ones used could be national or, preferably, those of recognized international bodies (API, OGP, IPCC, etc.), used by the profession</w:t>
      </w:r>
      <w:r w:rsidR="00305BFC">
        <w:rPr>
          <w:rFonts w:ascii="Calibri" w:eastAsia="Times New Roman" w:hAnsi="Calibri" w:cs="Times New Roman"/>
          <w:szCs w:val="20"/>
          <w:lang w:eastAsia="fr-FR"/>
        </w:rPr>
        <w:t>.</w:t>
      </w:r>
    </w:p>
    <w:p w14:paraId="0441C83D" w14:textId="0A366AFD" w:rsidR="00185541" w:rsidRPr="00342DFA" w:rsidRDefault="00185541" w:rsidP="006806B4">
      <w:pPr>
        <w:numPr>
          <w:ilvl w:val="0"/>
          <w:numId w:val="3"/>
        </w:numPr>
        <w:rPr>
          <w:rFonts w:ascii="Calibri" w:eastAsia="Times New Roman" w:hAnsi="Calibri" w:cs="Times New Roman"/>
          <w:szCs w:val="20"/>
          <w:lang w:eastAsia="fr-FR"/>
        </w:rPr>
      </w:pPr>
      <w:r w:rsidRPr="00342DFA">
        <w:rPr>
          <w:rFonts w:ascii="Calibri" w:eastAsia="Times New Roman" w:hAnsi="Calibri" w:cs="Times New Roman"/>
          <w:szCs w:val="20"/>
          <w:lang w:eastAsia="fr-FR"/>
        </w:rPr>
        <w:t xml:space="preserve">Methods based on </w:t>
      </w:r>
      <w:r w:rsidRPr="00342DFA">
        <w:rPr>
          <w:rFonts w:ascii="Calibri" w:eastAsia="Times New Roman" w:hAnsi="Calibri" w:cs="Times New Roman"/>
          <w:b/>
          <w:szCs w:val="20"/>
          <w:lang w:eastAsia="fr-FR"/>
        </w:rPr>
        <w:t>estimates</w:t>
      </w:r>
      <w:r w:rsidRPr="00342DFA">
        <w:rPr>
          <w:rFonts w:ascii="Calibri" w:eastAsia="Times New Roman" w:hAnsi="Calibri" w:cs="Times New Roman"/>
          <w:szCs w:val="20"/>
          <w:lang w:eastAsia="fr-FR"/>
        </w:rPr>
        <w:t xml:space="preserve">: This method is based on design manufacturer information. For </w:t>
      </w:r>
      <w:r w:rsidR="009D4298" w:rsidRPr="00342DFA">
        <w:rPr>
          <w:rFonts w:ascii="Calibri" w:eastAsia="Times New Roman" w:hAnsi="Calibri" w:cs="Times New Roman"/>
          <w:szCs w:val="20"/>
          <w:lang w:eastAsia="fr-FR"/>
        </w:rPr>
        <w:t>example,</w:t>
      </w:r>
      <w:r w:rsidRPr="00342DFA">
        <w:rPr>
          <w:rFonts w:ascii="Calibri" w:eastAsia="Times New Roman" w:hAnsi="Calibri" w:cs="Times New Roman"/>
          <w:szCs w:val="20"/>
          <w:lang w:eastAsia="fr-FR"/>
        </w:rPr>
        <w:t xml:space="preserve"> greenhouse gas emissions may be calculated for a diesel engine from the design and operating hours. </w:t>
      </w:r>
    </w:p>
    <w:p w14:paraId="6AAB70F3" w14:textId="77777777" w:rsidR="00185541" w:rsidRPr="00342DFA" w:rsidRDefault="00185541" w:rsidP="00185541">
      <w:pPr>
        <w:rPr>
          <w:rFonts w:ascii="Calibri" w:eastAsia="Times New Roman" w:hAnsi="Calibri" w:cs="Times New Roman"/>
          <w:szCs w:val="20"/>
          <w:lang w:eastAsia="fr-FR"/>
        </w:rPr>
      </w:pPr>
      <w:r w:rsidRPr="00342DFA">
        <w:rPr>
          <w:rFonts w:ascii="Calibri" w:eastAsia="Times New Roman" w:hAnsi="Calibri" w:cs="Times New Roman"/>
          <w:szCs w:val="20"/>
          <w:lang w:eastAsia="fr-FR"/>
        </w:rPr>
        <w:t>Whenever economically and technically possible, the most accurate available category of quantification should be preferred.</w:t>
      </w:r>
    </w:p>
    <w:p w14:paraId="77259CCC" w14:textId="3EB58166" w:rsidR="00185541" w:rsidRPr="003C78F0" w:rsidRDefault="00185541" w:rsidP="003C78F0">
      <w:pPr>
        <w:pStyle w:val="Heading2"/>
        <w:numPr>
          <w:ilvl w:val="0"/>
          <w:numId w:val="0"/>
        </w:numPr>
      </w:pPr>
      <w:bookmarkStart w:id="28" w:name="_Ref395112463"/>
      <w:r w:rsidRPr="003C78F0">
        <w:t>Uncertainty</w:t>
      </w:r>
      <w:bookmarkEnd w:id="28"/>
    </w:p>
    <w:p w14:paraId="78FD47D3" w14:textId="192C8552" w:rsidR="006A7933" w:rsidRPr="00342DFA" w:rsidRDefault="006A7933" w:rsidP="006A7933">
      <w:pPr>
        <w:rPr>
          <w:rFonts w:ascii="Calibri" w:eastAsia="Times New Roman" w:hAnsi="Calibri" w:cs="Times New Roman"/>
          <w:szCs w:val="20"/>
          <w:lang w:eastAsia="fr-FR"/>
        </w:rPr>
      </w:pPr>
      <w:r w:rsidRPr="00342DFA">
        <w:rPr>
          <w:rFonts w:ascii="Calibri" w:eastAsia="Times New Roman" w:hAnsi="Calibri" w:cs="Times New Roman"/>
          <w:szCs w:val="20"/>
          <w:lang w:eastAsia="fr-FR"/>
        </w:rPr>
        <w:t xml:space="preserve">By nature, the reporting, </w:t>
      </w:r>
      <w:proofErr w:type="gramStart"/>
      <w:r w:rsidRPr="00342DFA">
        <w:rPr>
          <w:rFonts w:ascii="Calibri" w:eastAsia="Times New Roman" w:hAnsi="Calibri" w:cs="Times New Roman"/>
          <w:szCs w:val="20"/>
          <w:lang w:eastAsia="fr-FR"/>
        </w:rPr>
        <w:t>assessment</w:t>
      </w:r>
      <w:proofErr w:type="gramEnd"/>
      <w:r w:rsidRPr="00342DFA">
        <w:rPr>
          <w:rFonts w:ascii="Calibri" w:eastAsia="Times New Roman" w:hAnsi="Calibri" w:cs="Times New Roman"/>
          <w:szCs w:val="20"/>
          <w:lang w:eastAsia="fr-FR"/>
        </w:rPr>
        <w:t xml:space="preserve"> and data collection are sources of uncertainty. The estimate of this uncertainty is an essential element in reporting. It does not challenge the validity of reporting data but matches them with a degree of reliability. It also helps to identify domains for possible improvement in the accuracy of </w:t>
      </w:r>
      <w:r w:rsidR="00ED6F34" w:rsidRPr="00342DFA">
        <w:rPr>
          <w:rFonts w:ascii="Calibri" w:eastAsia="Times New Roman" w:hAnsi="Calibri" w:cs="Times New Roman"/>
          <w:szCs w:val="20"/>
          <w:lang w:eastAsia="fr-FR"/>
        </w:rPr>
        <w:t>reporting and</w:t>
      </w:r>
      <w:r w:rsidRPr="00342DFA">
        <w:rPr>
          <w:rFonts w:ascii="Calibri" w:eastAsia="Times New Roman" w:hAnsi="Calibri" w:cs="Times New Roman"/>
          <w:szCs w:val="20"/>
          <w:lang w:eastAsia="fr-FR"/>
        </w:rPr>
        <w:t xml:space="preserve"> guides methodological choices.</w:t>
      </w:r>
    </w:p>
    <w:p w14:paraId="27B96476" w14:textId="47CC8281" w:rsidR="00185541" w:rsidRPr="00B07C95" w:rsidRDefault="006A7933" w:rsidP="00185541">
      <w:pPr>
        <w:rPr>
          <w:rFonts w:ascii="Calibri" w:eastAsia="Times New Roman" w:hAnsi="Calibri" w:cs="Times New Roman"/>
          <w:i/>
          <w:szCs w:val="20"/>
          <w:lang w:eastAsia="fr-FR"/>
        </w:rPr>
      </w:pPr>
      <w:r w:rsidRPr="00342DFA">
        <w:rPr>
          <w:rFonts w:ascii="Calibri" w:eastAsia="Times New Roman" w:hAnsi="Calibri" w:cs="Times New Roman"/>
          <w:szCs w:val="20"/>
          <w:lang w:eastAsia="fr-FR"/>
        </w:rPr>
        <w:t xml:space="preserve">For all quantitative indicators, the Company should see to limit the uncertainty to 10% of the value, at both site and group level. </w:t>
      </w:r>
      <w:r w:rsidRPr="00342DFA">
        <w:rPr>
          <w:rFonts w:ascii="Calibri" w:eastAsia="Times New Roman" w:hAnsi="Calibri" w:cs="Times New Roman"/>
          <w:szCs w:val="20"/>
          <w:highlight w:val="yellow"/>
          <w:lang w:eastAsia="fr-FR"/>
        </w:rPr>
        <w:fldChar w:fldCharType="begin"/>
      </w:r>
      <w:r w:rsidRPr="00342DFA">
        <w:rPr>
          <w:rFonts w:ascii="Calibri" w:eastAsia="Times New Roman" w:hAnsi="Calibri" w:cs="Times New Roman"/>
          <w:szCs w:val="20"/>
          <w:lang w:eastAsia="fr-FR"/>
        </w:rPr>
        <w:instrText xml:space="preserve"> REF _Ref395112463 \r \h </w:instrText>
      </w:r>
      <w:r w:rsidRPr="00342DFA">
        <w:rPr>
          <w:rFonts w:ascii="Calibri" w:eastAsia="Times New Roman" w:hAnsi="Calibri" w:cs="Times New Roman"/>
          <w:szCs w:val="20"/>
          <w:highlight w:val="yellow"/>
          <w:lang w:eastAsia="fr-FR"/>
        </w:rPr>
      </w:r>
      <w:r w:rsidRPr="00342DFA">
        <w:rPr>
          <w:rFonts w:ascii="Calibri" w:eastAsia="Times New Roman" w:hAnsi="Calibri" w:cs="Times New Roman"/>
          <w:szCs w:val="20"/>
          <w:highlight w:val="yellow"/>
          <w:lang w:eastAsia="fr-FR"/>
        </w:rPr>
        <w:fldChar w:fldCharType="separate"/>
      </w:r>
      <w:r w:rsidR="00120F27">
        <w:rPr>
          <w:rFonts w:ascii="Calibri" w:eastAsia="Times New Roman" w:hAnsi="Calibri" w:cs="Times New Roman"/>
          <w:szCs w:val="20"/>
          <w:lang w:eastAsia="fr-FR"/>
        </w:rPr>
        <w:t>0</w:t>
      </w:r>
      <w:r w:rsidRPr="00342DFA">
        <w:rPr>
          <w:rFonts w:ascii="Calibri" w:eastAsia="Times New Roman" w:hAnsi="Calibri" w:cs="Times New Roman"/>
          <w:szCs w:val="20"/>
          <w:highlight w:val="yellow"/>
          <w:lang w:eastAsia="fr-FR"/>
        </w:rPr>
        <w:fldChar w:fldCharType="end"/>
      </w:r>
      <w:r w:rsidRPr="00342DFA">
        <w:rPr>
          <w:rFonts w:ascii="Calibri" w:eastAsia="Times New Roman" w:hAnsi="Calibri" w:cs="Times New Roman"/>
          <w:szCs w:val="20"/>
          <w:lang w:eastAsia="fr-FR"/>
        </w:rPr>
        <w:t xml:space="preserve"> A simplified methodology to estimate the uncertainty is provided below, b</w:t>
      </w:r>
      <w:r w:rsidR="00185541" w:rsidRPr="00B07C95">
        <w:rPr>
          <w:rFonts w:ascii="Calibri" w:eastAsia="Times New Roman" w:hAnsi="Calibri" w:cs="Times New Roman"/>
          <w:szCs w:val="20"/>
          <w:lang w:eastAsia="fr-FR"/>
        </w:rPr>
        <w:t>ased on IPCC Good Practice Guidance and Uncertainty Management in National Greenhouse Gas Inventories, June 15, 2001</w:t>
      </w:r>
      <w:r w:rsidR="00F215BF">
        <w:rPr>
          <w:rFonts w:ascii="Calibri" w:eastAsia="Times New Roman" w:hAnsi="Calibri" w:cs="Times New Roman"/>
          <w:szCs w:val="20"/>
          <w:lang w:eastAsia="fr-FR"/>
        </w:rPr>
        <w:t>.</w:t>
      </w:r>
    </w:p>
    <w:p w14:paraId="0E4FD19F" w14:textId="77777777" w:rsidR="00185541" w:rsidRPr="003C78F0" w:rsidRDefault="00185541" w:rsidP="003C78F0">
      <w:pPr>
        <w:pStyle w:val="Heading2"/>
        <w:numPr>
          <w:ilvl w:val="0"/>
          <w:numId w:val="0"/>
        </w:numPr>
      </w:pPr>
      <w:r w:rsidRPr="003C78F0">
        <w:t>Calculation of uncertainty</w:t>
      </w:r>
    </w:p>
    <w:p w14:paraId="27297091" w14:textId="77777777" w:rsidR="00185541" w:rsidRPr="00B07C95" w:rsidRDefault="00185541" w:rsidP="00185541">
      <w:pPr>
        <w:rPr>
          <w:rFonts w:ascii="Calibri" w:eastAsia="Times New Roman" w:hAnsi="Calibri" w:cs="Times New Roman"/>
          <w:szCs w:val="20"/>
          <w:lang w:eastAsia="fr-FR"/>
        </w:rPr>
      </w:pPr>
      <w:r w:rsidRPr="00B07C95">
        <w:rPr>
          <w:rFonts w:ascii="Calibri" w:eastAsia="Times New Roman" w:hAnsi="Calibri" w:cs="Times New Roman"/>
          <w:szCs w:val="20"/>
          <w:lang w:eastAsia="fr-FR"/>
        </w:rPr>
        <w:t xml:space="preserve">The estimated uncertainty of emissions from individual sources is either a function of instrument characteristics, </w:t>
      </w:r>
      <w:proofErr w:type="gramStart"/>
      <w:r w:rsidRPr="00B07C95">
        <w:rPr>
          <w:rFonts w:ascii="Calibri" w:eastAsia="Times New Roman" w:hAnsi="Calibri" w:cs="Times New Roman"/>
          <w:szCs w:val="20"/>
          <w:lang w:eastAsia="fr-FR"/>
        </w:rPr>
        <w:t>calibration</w:t>
      </w:r>
      <w:proofErr w:type="gramEnd"/>
      <w:r w:rsidRPr="00B07C95">
        <w:rPr>
          <w:rFonts w:ascii="Calibri" w:eastAsia="Times New Roman" w:hAnsi="Calibri" w:cs="Times New Roman"/>
          <w:szCs w:val="20"/>
          <w:lang w:eastAsia="fr-FR"/>
        </w:rPr>
        <w:t xml:space="preserve"> and sampling frequency of direct measurements, or (more often) a combination of the uncertainties in the calculation factors for typical sources and the corresponding activity data.</w:t>
      </w:r>
    </w:p>
    <w:p w14:paraId="7BD0402A" w14:textId="0172DE3D" w:rsidR="00185541" w:rsidRPr="00B07C95" w:rsidRDefault="00185541" w:rsidP="00185541">
      <w:pPr>
        <w:rPr>
          <w:rFonts w:ascii="Calibri" w:eastAsia="Times New Roman" w:hAnsi="Calibri" w:cs="Times New Roman"/>
          <w:szCs w:val="20"/>
          <w:lang w:eastAsia="fr-FR"/>
        </w:rPr>
      </w:pPr>
      <w:r w:rsidRPr="00B07C95">
        <w:rPr>
          <w:rFonts w:ascii="Calibri" w:eastAsia="Times New Roman" w:hAnsi="Calibri" w:cs="Times New Roman"/>
          <w:szCs w:val="20"/>
          <w:lang w:eastAsia="fr-FR"/>
        </w:rPr>
        <w:t>Assuming a normal distribution of the data collected for a specific indicator, the figure below depicts the proportion of samples that would fall between 0, 1, 2, and 3 standard deviations above and below the actual value</w:t>
      </w:r>
      <w:r w:rsidR="00F215BF">
        <w:rPr>
          <w:rFonts w:ascii="Calibri" w:eastAsia="Times New Roman" w:hAnsi="Calibri" w:cs="Times New Roman"/>
          <w:szCs w:val="20"/>
          <w:lang w:eastAsia="fr-FR"/>
        </w:rPr>
        <w:t>.</w:t>
      </w:r>
    </w:p>
    <w:p w14:paraId="7F3A951F" w14:textId="77777777" w:rsidR="00185541" w:rsidRPr="00B07C95" w:rsidRDefault="00185541" w:rsidP="00185541">
      <w:pPr>
        <w:rPr>
          <w:rFonts w:ascii="Calibri" w:eastAsia="Times New Roman" w:hAnsi="Calibri" w:cs="Times New Roman"/>
          <w:szCs w:val="20"/>
          <w:lang w:eastAsia="fr-FR"/>
        </w:rPr>
      </w:pPr>
    </w:p>
    <w:p w14:paraId="0577CEDC" w14:textId="77777777" w:rsidR="00185541" w:rsidRPr="00342DFA" w:rsidRDefault="00185541" w:rsidP="00185541">
      <w:pPr>
        <w:keepNext/>
        <w:jc w:val="center"/>
        <w:rPr>
          <w:rFonts w:ascii="Calibri" w:eastAsia="Times New Roman" w:hAnsi="Calibri" w:cs="Times New Roman"/>
          <w:szCs w:val="20"/>
          <w:lang w:eastAsia="fr-FR"/>
        </w:rPr>
      </w:pPr>
      <w:r w:rsidRPr="00B07C95">
        <w:rPr>
          <w:rFonts w:ascii="Calibri" w:eastAsia="Times New Roman" w:hAnsi="Calibri" w:cs="Times New Roman"/>
          <w:noProof/>
          <w:szCs w:val="20"/>
          <w:lang w:val="it-IT" w:eastAsia="it-IT"/>
        </w:rPr>
        <w:drawing>
          <wp:inline distT="0" distB="0" distL="0" distR="0" wp14:anchorId="770F37A4" wp14:editId="1DD690CE">
            <wp:extent cx="2912414" cy="1526650"/>
            <wp:effectExtent l="19050" t="0" r="2236" b="0"/>
            <wp:docPr id="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clrChange>
                        <a:clrFrom>
                          <a:srgbClr val="FFFFFF"/>
                        </a:clrFrom>
                        <a:clrTo>
                          <a:srgbClr val="FFFFFF">
                            <a:alpha val="0"/>
                          </a:srgbClr>
                        </a:clrTo>
                      </a:clrChange>
                      <a:grayscl/>
                    </a:blip>
                    <a:srcRect l="4834"/>
                    <a:stretch>
                      <a:fillRect/>
                    </a:stretch>
                  </pic:blipFill>
                  <pic:spPr bwMode="auto">
                    <a:xfrm>
                      <a:off x="0" y="0"/>
                      <a:ext cx="2912414" cy="1526650"/>
                    </a:xfrm>
                    <a:prstGeom prst="rect">
                      <a:avLst/>
                    </a:prstGeom>
                    <a:noFill/>
                    <a:ln w="9525">
                      <a:noFill/>
                      <a:miter lim="800000"/>
                      <a:headEnd/>
                      <a:tailEnd/>
                    </a:ln>
                  </pic:spPr>
                </pic:pic>
              </a:graphicData>
            </a:graphic>
          </wp:inline>
        </w:drawing>
      </w:r>
    </w:p>
    <w:p w14:paraId="6047867E" w14:textId="412AC1D8" w:rsidR="00185541" w:rsidRPr="00B07C95" w:rsidRDefault="00185541" w:rsidP="00185541">
      <w:pPr>
        <w:spacing w:after="200"/>
        <w:jc w:val="center"/>
        <w:rPr>
          <w:rFonts w:ascii="Calibri" w:eastAsia="Times New Roman" w:hAnsi="Calibri" w:cs="Times New Roman"/>
          <w:b/>
          <w:bCs/>
          <w:color w:val="5F5F5F"/>
          <w:szCs w:val="20"/>
          <w:lang w:eastAsia="fr-FR"/>
        </w:rPr>
      </w:pPr>
      <w:r w:rsidRPr="00342DFA">
        <w:rPr>
          <w:rFonts w:ascii="Calibri" w:eastAsia="Times New Roman" w:hAnsi="Calibri" w:cs="Times New Roman"/>
          <w:b/>
          <w:bCs/>
          <w:color w:val="5F5F5F"/>
          <w:szCs w:val="20"/>
          <w:lang w:eastAsia="fr-FR"/>
        </w:rPr>
        <w:t xml:space="preserve">Figure </w:t>
      </w:r>
      <w:r w:rsidRPr="00342DFA">
        <w:rPr>
          <w:rFonts w:ascii="Calibri" w:eastAsia="Times New Roman" w:hAnsi="Calibri" w:cs="Times New Roman"/>
          <w:b/>
          <w:bCs/>
          <w:color w:val="5F5F5F"/>
          <w:szCs w:val="20"/>
          <w:lang w:eastAsia="fr-FR"/>
        </w:rPr>
        <w:fldChar w:fldCharType="begin"/>
      </w:r>
      <w:r w:rsidRPr="00342DFA">
        <w:rPr>
          <w:rFonts w:ascii="Calibri" w:eastAsia="Times New Roman" w:hAnsi="Calibri" w:cs="Times New Roman"/>
          <w:b/>
          <w:bCs/>
          <w:color w:val="5F5F5F"/>
          <w:szCs w:val="20"/>
          <w:lang w:eastAsia="fr-FR"/>
        </w:rPr>
        <w:instrText xml:space="preserve"> SEQ Figure \* ARABIC </w:instrText>
      </w:r>
      <w:r w:rsidRPr="00342DFA">
        <w:rPr>
          <w:rFonts w:ascii="Calibri" w:eastAsia="Times New Roman" w:hAnsi="Calibri" w:cs="Times New Roman"/>
          <w:b/>
          <w:bCs/>
          <w:color w:val="5F5F5F"/>
          <w:szCs w:val="20"/>
          <w:lang w:eastAsia="fr-FR"/>
        </w:rPr>
        <w:fldChar w:fldCharType="separate"/>
      </w:r>
      <w:r w:rsidR="00120F27">
        <w:rPr>
          <w:rFonts w:ascii="Calibri" w:eastAsia="Times New Roman" w:hAnsi="Calibri" w:cs="Times New Roman"/>
          <w:b/>
          <w:bCs/>
          <w:noProof/>
          <w:color w:val="5F5F5F"/>
          <w:szCs w:val="20"/>
          <w:lang w:eastAsia="fr-FR"/>
        </w:rPr>
        <w:t>6</w:t>
      </w:r>
      <w:r w:rsidRPr="00342DFA">
        <w:rPr>
          <w:rFonts w:ascii="Calibri" w:eastAsia="Times New Roman" w:hAnsi="Calibri" w:cs="Times New Roman"/>
          <w:b/>
          <w:bCs/>
          <w:color w:val="5F5F5F"/>
          <w:szCs w:val="20"/>
          <w:lang w:eastAsia="fr-FR"/>
        </w:rPr>
        <w:fldChar w:fldCharType="end"/>
      </w:r>
      <w:r w:rsidRPr="00342DFA">
        <w:rPr>
          <w:rFonts w:ascii="Calibri" w:eastAsia="Times New Roman" w:hAnsi="Calibri" w:cs="Times New Roman"/>
          <w:b/>
          <w:bCs/>
          <w:color w:val="5F5F5F"/>
          <w:szCs w:val="20"/>
          <w:lang w:eastAsia="fr-FR"/>
        </w:rPr>
        <w:t>: Unbiased normally distribution of value</w:t>
      </w:r>
    </w:p>
    <w:p w14:paraId="32FF6EEF" w14:textId="77777777" w:rsidR="00185541" w:rsidRPr="00B07C95" w:rsidRDefault="00185541" w:rsidP="00185541">
      <w:pPr>
        <w:rPr>
          <w:rFonts w:ascii="Calibri" w:eastAsia="Times New Roman" w:hAnsi="Calibri" w:cs="Times New Roman"/>
          <w:szCs w:val="20"/>
          <w:lang w:eastAsia="fr-FR"/>
        </w:rPr>
      </w:pPr>
      <w:proofErr w:type="gramStart"/>
      <w:r w:rsidRPr="00B07C95">
        <w:rPr>
          <w:rFonts w:ascii="Calibri" w:eastAsia="Times New Roman" w:hAnsi="Calibri" w:cs="Times New Roman"/>
          <w:szCs w:val="20"/>
          <w:lang w:eastAsia="fr-FR"/>
        </w:rPr>
        <w:t>where</w:t>
      </w:r>
      <w:proofErr w:type="gramEnd"/>
    </w:p>
    <w:p w14:paraId="0C4F9487" w14:textId="0665724D" w:rsidR="00185541" w:rsidRPr="00342DFA" w:rsidRDefault="00ED6F34" w:rsidP="006806B4">
      <w:pPr>
        <w:numPr>
          <w:ilvl w:val="0"/>
          <w:numId w:val="2"/>
        </w:numPr>
        <w:rPr>
          <w:rFonts w:ascii="Calibri" w:eastAsia="Times New Roman" w:hAnsi="Calibri" w:cs="Times New Roman"/>
          <w:szCs w:val="20"/>
          <w:lang w:eastAsia="fr-FR"/>
        </w:rPr>
      </w:pPr>
      <w:r w:rsidRPr="00342DFA">
        <w:rPr>
          <w:rFonts w:ascii="Calibri" w:eastAsia="Times New Roman" w:hAnsi="Calibri" w:cs="Times New Roman"/>
          <w:szCs w:val="20"/>
          <w:lang w:eastAsia="fr-FR"/>
        </w:rPr>
        <w:t>µ is</w:t>
      </w:r>
      <w:r w:rsidR="00185541" w:rsidRPr="00342DFA">
        <w:rPr>
          <w:rFonts w:ascii="Calibri" w:eastAsia="Times New Roman" w:hAnsi="Calibri" w:cs="Times New Roman"/>
          <w:szCs w:val="20"/>
          <w:lang w:eastAsia="fr-FR"/>
        </w:rPr>
        <w:t xml:space="preserve"> the mean of data</w:t>
      </w:r>
    </w:p>
    <w:p w14:paraId="6401C061" w14:textId="77777777" w:rsidR="00185541" w:rsidRPr="00342DFA" w:rsidRDefault="00185541" w:rsidP="006806B4">
      <w:pPr>
        <w:numPr>
          <w:ilvl w:val="0"/>
          <w:numId w:val="2"/>
        </w:numPr>
        <w:rPr>
          <w:rFonts w:ascii="Calibri" w:eastAsia="Times New Roman" w:hAnsi="Calibri" w:cs="Times New Roman"/>
          <w:szCs w:val="20"/>
          <w:lang w:eastAsia="fr-FR"/>
        </w:rPr>
      </w:pPr>
      <w:r w:rsidRPr="00342DFA">
        <w:rPr>
          <w:rFonts w:ascii="Calibri" w:eastAsia="Times New Roman" w:hAnsi="Calibri" w:cs="Times New Roman"/>
          <w:szCs w:val="20"/>
          <w:lang w:eastAsia="fr-FR"/>
        </w:rPr>
        <w:lastRenderedPageBreak/>
        <w:t>σ is the standard deviation of data</w:t>
      </w:r>
    </w:p>
    <w:p w14:paraId="323E3210" w14:textId="77777777" w:rsidR="00185541" w:rsidRPr="00B07C95" w:rsidRDefault="00185541" w:rsidP="00185541">
      <w:pPr>
        <w:rPr>
          <w:rFonts w:ascii="Calibri" w:eastAsia="Times New Roman" w:hAnsi="Calibri" w:cs="Times New Roman"/>
          <w:szCs w:val="20"/>
          <w:lang w:eastAsia="fr-FR"/>
        </w:rPr>
      </w:pPr>
      <w:r w:rsidRPr="00B07C95">
        <w:rPr>
          <w:rFonts w:ascii="Calibri" w:eastAsia="Times New Roman" w:hAnsi="Calibri" w:cs="Times New Roman"/>
          <w:szCs w:val="20"/>
          <w:lang w:eastAsia="fr-FR"/>
        </w:rPr>
        <w:t>The analysis of the graphic show that 68.2% of the value are included in the confidence interval [µ-</w:t>
      </w:r>
      <w:proofErr w:type="gramStart"/>
      <w:r w:rsidRPr="00B07C95">
        <w:rPr>
          <w:rFonts w:ascii="Calibri" w:eastAsia="Times New Roman" w:hAnsi="Calibri" w:cs="Calibri"/>
          <w:szCs w:val="20"/>
          <w:lang w:eastAsia="fr-FR"/>
        </w:rPr>
        <w:t xml:space="preserve">σ </w:t>
      </w:r>
      <w:r w:rsidRPr="00B07C95">
        <w:rPr>
          <w:rFonts w:ascii="Calibri" w:eastAsia="Times New Roman" w:hAnsi="Calibri" w:cs="Times New Roman"/>
          <w:szCs w:val="20"/>
          <w:lang w:eastAsia="fr-FR"/>
        </w:rPr>
        <w:t>;</w:t>
      </w:r>
      <w:proofErr w:type="gramEnd"/>
      <w:r w:rsidRPr="00B07C95">
        <w:rPr>
          <w:rFonts w:ascii="Calibri" w:eastAsia="Times New Roman" w:hAnsi="Calibri" w:cs="Times New Roman"/>
          <w:szCs w:val="20"/>
          <w:lang w:eastAsia="fr-FR"/>
        </w:rPr>
        <w:t xml:space="preserve"> µ+</w:t>
      </w:r>
      <w:r w:rsidRPr="00B07C95">
        <w:rPr>
          <w:rFonts w:ascii="Calibri" w:eastAsia="Times New Roman" w:hAnsi="Calibri" w:cs="Calibri"/>
          <w:szCs w:val="20"/>
          <w:lang w:eastAsia="fr-FR"/>
        </w:rPr>
        <w:t>σ</w:t>
      </w:r>
      <w:r w:rsidRPr="00B07C95">
        <w:rPr>
          <w:rFonts w:ascii="Calibri" w:eastAsia="Times New Roman" w:hAnsi="Calibri" w:cs="Times New Roman"/>
          <w:szCs w:val="20"/>
          <w:lang w:eastAsia="fr-FR"/>
        </w:rPr>
        <w:t>] and that 95% of the value are included in the confidence interval [µ-2</w:t>
      </w:r>
      <w:r w:rsidRPr="00B07C95">
        <w:rPr>
          <w:rFonts w:ascii="Calibri" w:eastAsia="Times New Roman" w:hAnsi="Calibri" w:cs="Calibri"/>
          <w:szCs w:val="20"/>
          <w:lang w:eastAsia="fr-FR"/>
        </w:rPr>
        <w:t xml:space="preserve">σ </w:t>
      </w:r>
      <w:r w:rsidRPr="00B07C95">
        <w:rPr>
          <w:rFonts w:ascii="Calibri" w:eastAsia="Times New Roman" w:hAnsi="Calibri" w:cs="Times New Roman"/>
          <w:szCs w:val="20"/>
          <w:lang w:eastAsia="fr-FR"/>
        </w:rPr>
        <w:t>; µ+2</w:t>
      </w:r>
      <w:r w:rsidRPr="00B07C95">
        <w:rPr>
          <w:rFonts w:ascii="Calibri" w:eastAsia="Times New Roman" w:hAnsi="Calibri" w:cs="Calibri"/>
          <w:szCs w:val="20"/>
          <w:lang w:eastAsia="fr-FR"/>
        </w:rPr>
        <w:t>σ</w:t>
      </w:r>
      <w:r w:rsidRPr="00B07C95">
        <w:rPr>
          <w:rFonts w:ascii="Calibri" w:eastAsia="Times New Roman" w:hAnsi="Calibri" w:cs="Times New Roman"/>
          <w:szCs w:val="20"/>
          <w:lang w:eastAsia="fr-FR"/>
        </w:rPr>
        <w:t xml:space="preserve">]. </w:t>
      </w:r>
    </w:p>
    <w:p w14:paraId="17136E13" w14:textId="77777777" w:rsidR="00185541" w:rsidRPr="00B07C95" w:rsidRDefault="00185541" w:rsidP="00185541">
      <w:pPr>
        <w:rPr>
          <w:rFonts w:ascii="Calibri" w:eastAsia="Times New Roman" w:hAnsi="Calibri" w:cs="Times New Roman"/>
          <w:szCs w:val="20"/>
          <w:lang w:eastAsia="fr-FR"/>
        </w:rPr>
      </w:pPr>
      <w:r w:rsidRPr="00B07C95">
        <w:rPr>
          <w:rFonts w:ascii="Calibri" w:eastAsia="Times New Roman" w:hAnsi="Calibri" w:cs="Times New Roman"/>
          <w:szCs w:val="20"/>
          <w:lang w:eastAsia="fr-FR"/>
        </w:rPr>
        <w:t>The uncertainty U is the standard deviation of the mean of a data set, is calculated from the following formula</w:t>
      </w:r>
      <w:r w:rsidRPr="00B07C95">
        <w:rPr>
          <w:rFonts w:ascii="Calibri" w:eastAsia="Times New Roman" w:hAnsi="Calibri" w:cs="Times New Roman"/>
          <w:szCs w:val="20"/>
          <w:vertAlign w:val="superscript"/>
          <w:lang w:eastAsia="fr-FR"/>
        </w:rPr>
        <w:footnoteReference w:id="8"/>
      </w:r>
      <w:r w:rsidRPr="00B07C95">
        <w:rPr>
          <w:rFonts w:ascii="Calibri" w:eastAsia="Times New Roman" w:hAnsi="Calibri" w:cs="Times New Roman"/>
          <w:szCs w:val="20"/>
          <w:lang w:eastAsia="fr-FR"/>
        </w:rPr>
        <w:t>:</w:t>
      </w:r>
    </w:p>
    <w:p w14:paraId="5F7295B5" w14:textId="77777777" w:rsidR="00185541" w:rsidRPr="00B07C95" w:rsidRDefault="00185541" w:rsidP="00185541">
      <w:pPr>
        <w:rPr>
          <w:rFonts w:ascii="Calibri" w:eastAsia="Times New Roman" w:hAnsi="Calibri" w:cs="Times New Roman"/>
          <w:i/>
          <w:szCs w:val="20"/>
          <w:lang w:eastAsia="fr-FR"/>
        </w:rPr>
      </w:pPr>
      <m:oMathPara>
        <m:oMathParaPr>
          <m:jc m:val="center"/>
        </m:oMathParaPr>
        <m:oMath>
          <m:r>
            <w:rPr>
              <w:rFonts w:ascii="Cambria Math" w:eastAsia="Times New Roman" w:hAnsi="Cambria Math" w:cs="Cambria Math"/>
              <w:szCs w:val="20"/>
              <w:lang w:eastAsia="fr-FR"/>
            </w:rPr>
            <m:t>U=</m:t>
          </m:r>
          <m:f>
            <m:fPr>
              <m:ctrlPr>
                <w:rPr>
                  <w:rFonts w:ascii="Cambria Math" w:eastAsia="Times New Roman" w:hAnsi="Cambria Math" w:cs="Times New Roman"/>
                  <w:i/>
                  <w:szCs w:val="20"/>
                  <w:lang w:eastAsia="fr-FR"/>
                </w:rPr>
              </m:ctrlPr>
            </m:fPr>
            <m:num>
              <m:r>
                <w:rPr>
                  <w:rFonts w:ascii="Cambria Math" w:eastAsia="Times New Roman" w:hAnsi="Cambria Math" w:cs="Calibri"/>
                  <w:szCs w:val="20"/>
                  <w:lang w:eastAsia="fr-FR"/>
                </w:rPr>
                <m:t>2σ</m:t>
              </m:r>
              <m:r>
                <w:rPr>
                  <w:rFonts w:ascii="Cambria Math" w:eastAsia="Times New Roman" w:hAnsi="Calibri" w:cs="Calibri"/>
                  <w:szCs w:val="20"/>
                  <w:lang w:eastAsia="fr-FR"/>
                </w:rPr>
                <m:t xml:space="preserve"> </m:t>
              </m:r>
            </m:num>
            <m:den>
              <m:rad>
                <m:radPr>
                  <m:degHide m:val="1"/>
                  <m:ctrlPr>
                    <w:rPr>
                      <w:rFonts w:ascii="Cambria Math" w:eastAsia="Times New Roman" w:hAnsi="Cambria Math" w:cs="Times New Roman"/>
                      <w:i/>
                      <w:szCs w:val="20"/>
                      <w:lang w:eastAsia="fr-FR"/>
                    </w:rPr>
                  </m:ctrlPr>
                </m:radPr>
                <m:deg/>
                <m:e>
                  <m:r>
                    <w:rPr>
                      <w:rFonts w:ascii="Cambria Math" w:eastAsia="Times New Roman" w:hAnsi="Cambria Math" w:cs="Times New Roman"/>
                      <w:szCs w:val="20"/>
                      <w:lang w:eastAsia="fr-FR"/>
                    </w:rPr>
                    <m:t>n</m:t>
                  </m:r>
                </m:e>
              </m:rad>
            </m:den>
          </m:f>
        </m:oMath>
      </m:oMathPara>
    </w:p>
    <w:p w14:paraId="49E6338B" w14:textId="77777777" w:rsidR="00185541" w:rsidRPr="00B07C95" w:rsidRDefault="00185541" w:rsidP="006806B4">
      <w:pPr>
        <w:numPr>
          <w:ilvl w:val="0"/>
          <w:numId w:val="5"/>
        </w:numPr>
        <w:contextualSpacing/>
        <w:rPr>
          <w:rFonts w:ascii="Calibri" w:eastAsia="Times New Roman" w:hAnsi="Calibri" w:cs="Times New Roman"/>
          <w:szCs w:val="20"/>
          <w:lang w:eastAsia="fr-FR"/>
        </w:rPr>
      </w:pPr>
      <w:r w:rsidRPr="00B07C95">
        <w:rPr>
          <w:rFonts w:ascii="Calibri" w:eastAsia="Times New Roman" w:hAnsi="Calibri" w:cs="Times New Roman"/>
          <w:szCs w:val="20"/>
          <w:lang w:eastAsia="fr-FR"/>
        </w:rPr>
        <w:t>where n is the number of measurements in the set.</w:t>
      </w:r>
    </w:p>
    <w:p w14:paraId="1F543FD4" w14:textId="77777777" w:rsidR="00185541" w:rsidRPr="00B07C95" w:rsidRDefault="00185541" w:rsidP="00185541">
      <w:pPr>
        <w:rPr>
          <w:rFonts w:ascii="Calibri" w:eastAsia="Times New Roman" w:hAnsi="Calibri" w:cs="Times New Roman"/>
          <w:szCs w:val="20"/>
          <w:lang w:eastAsia="fr-FR"/>
        </w:rPr>
      </w:pPr>
      <w:r w:rsidRPr="00B07C95">
        <w:rPr>
          <w:rFonts w:ascii="Calibri" w:eastAsia="Times New Roman" w:hAnsi="Calibri" w:cs="Times New Roman"/>
          <w:szCs w:val="20"/>
          <w:lang w:eastAsia="fr-FR"/>
        </w:rPr>
        <w:t>As mentioned in the current guidance, the uncertainty should not exceed +/- 10% of the mean, i.e.:</w:t>
      </w:r>
    </w:p>
    <w:p w14:paraId="7E2163CE" w14:textId="77777777" w:rsidR="00185541" w:rsidRPr="00B07C95" w:rsidRDefault="00000000" w:rsidP="00185541">
      <w:pPr>
        <w:rPr>
          <w:rFonts w:ascii="Calibri" w:eastAsia="Times New Roman" w:hAnsi="Calibri" w:cs="Times New Roman"/>
          <w:szCs w:val="20"/>
          <w:lang w:eastAsia="fr-FR"/>
        </w:rPr>
      </w:pPr>
      <m:oMathPara>
        <m:oMathParaPr>
          <m:jc m:val="center"/>
        </m:oMathParaPr>
        <m:oMath>
          <m:f>
            <m:fPr>
              <m:ctrlPr>
                <w:rPr>
                  <w:rFonts w:ascii="Cambria Math" w:eastAsia="Times New Roman" w:hAnsi="Cambria Math" w:cs="Times New Roman"/>
                  <w:szCs w:val="20"/>
                  <w:lang w:eastAsia="fr-FR"/>
                </w:rPr>
              </m:ctrlPr>
            </m:fPr>
            <m:num>
              <m:r>
                <w:rPr>
                  <w:rFonts w:ascii="Cambria Math" w:eastAsia="Times New Roman" w:hAnsi="Cambria Math" w:cs="Times New Roman"/>
                  <w:szCs w:val="20"/>
                  <w:lang w:eastAsia="fr-FR"/>
                </w:rPr>
                <m:t>U</m:t>
              </m:r>
            </m:num>
            <m:den>
              <m:r>
                <m:rPr>
                  <m:sty m:val="p"/>
                </m:rPr>
                <w:rPr>
                  <w:rFonts w:ascii="Cambria Math" w:eastAsia="Times New Roman" w:hAnsi="Cambria Math" w:cs="Times New Roman" w:hint="eastAsia"/>
                  <w:szCs w:val="20"/>
                  <w:lang w:eastAsia="fr-FR"/>
                </w:rPr>
                <m:t>µ</m:t>
              </m:r>
            </m:den>
          </m:f>
          <m:r>
            <m:rPr>
              <m:sty m:val="p"/>
            </m:rPr>
            <w:rPr>
              <w:rFonts w:ascii="Cambria Math" w:eastAsia="Times New Roman" w:hAnsi="Cambria Math" w:cs="Times New Roman"/>
              <w:szCs w:val="20"/>
              <w:lang w:eastAsia="fr-FR"/>
            </w:rPr>
            <m:t>≤ 10%</m:t>
          </m:r>
        </m:oMath>
      </m:oMathPara>
    </w:p>
    <w:p w14:paraId="61FED417" w14:textId="77777777" w:rsidR="00185541" w:rsidRPr="003C78F0" w:rsidRDefault="00185541" w:rsidP="003C78F0">
      <w:pPr>
        <w:pStyle w:val="Heading2"/>
        <w:numPr>
          <w:ilvl w:val="0"/>
          <w:numId w:val="0"/>
        </w:numPr>
      </w:pPr>
      <w:r w:rsidRPr="003C78F0">
        <w:t>Combining uncertainties</w:t>
      </w:r>
    </w:p>
    <w:p w14:paraId="081B52BF" w14:textId="77777777" w:rsidR="00185541" w:rsidRPr="00B07C95" w:rsidRDefault="00185541" w:rsidP="00185541">
      <w:pPr>
        <w:rPr>
          <w:rFonts w:ascii="Calibri" w:eastAsia="Times New Roman" w:hAnsi="Calibri" w:cs="Times New Roman"/>
          <w:szCs w:val="20"/>
          <w:lang w:eastAsia="fr-FR"/>
        </w:rPr>
      </w:pPr>
      <w:r w:rsidRPr="00B07C95">
        <w:rPr>
          <w:rFonts w:ascii="Calibri" w:eastAsia="Times New Roman" w:hAnsi="Calibri" w:cs="Times New Roman"/>
          <w:szCs w:val="20"/>
          <w:lang w:eastAsia="fr-FR"/>
        </w:rPr>
        <w:t xml:space="preserve">The Company should </w:t>
      </w:r>
      <w:proofErr w:type="gramStart"/>
      <w:r w:rsidRPr="00B07C95">
        <w:rPr>
          <w:rFonts w:ascii="Calibri" w:eastAsia="Times New Roman" w:hAnsi="Calibri" w:cs="Times New Roman"/>
          <w:szCs w:val="20"/>
          <w:lang w:eastAsia="fr-FR"/>
        </w:rPr>
        <w:t>take into account</w:t>
      </w:r>
      <w:proofErr w:type="gramEnd"/>
      <w:r w:rsidRPr="00B07C95">
        <w:rPr>
          <w:rFonts w:ascii="Calibri" w:eastAsia="Times New Roman" w:hAnsi="Calibri" w:cs="Times New Roman"/>
          <w:szCs w:val="20"/>
          <w:lang w:eastAsia="fr-FR"/>
        </w:rPr>
        <w:t xml:space="preserve"> the cumulative effect of all components of the measurement system on the uncertainty of the annual activity data using the error propagation law which yields two convenient rules for combining uncorrelated uncertainties under addition and multiplication or respective conservative approximations if interdependent uncertainties occur: </w:t>
      </w:r>
    </w:p>
    <w:p w14:paraId="1B421B71" w14:textId="77777777" w:rsidR="00185541" w:rsidRPr="00B07C95" w:rsidRDefault="00185541" w:rsidP="003C78F0">
      <w:pPr>
        <w:pStyle w:val="Heading3"/>
      </w:pPr>
      <w:r w:rsidRPr="00B07C95">
        <w:t xml:space="preserve">Uncertainty of a sum </w:t>
      </w:r>
    </w:p>
    <w:p w14:paraId="52237E6A" w14:textId="77777777" w:rsidR="00185541" w:rsidRPr="00342DFA" w:rsidRDefault="00185541" w:rsidP="00185541">
      <w:pPr>
        <w:rPr>
          <w:rFonts w:ascii="Calibri" w:eastAsia="Times New Roman" w:hAnsi="Calibri" w:cs="Times New Roman"/>
          <w:szCs w:val="20"/>
          <w:lang w:eastAsia="fr-FR"/>
        </w:rPr>
      </w:pPr>
      <w:r w:rsidRPr="00342DFA">
        <w:rPr>
          <w:rFonts w:ascii="Calibri" w:eastAsia="Times New Roman" w:hAnsi="Calibri" w:cs="Times New Roman"/>
          <w:szCs w:val="20"/>
          <w:lang w:eastAsia="fr-FR"/>
        </w:rPr>
        <w:t>This type of calculation could be used, for instance for individual contributions to an annual value</w:t>
      </w:r>
    </w:p>
    <w:p w14:paraId="36B58379" w14:textId="77777777" w:rsidR="00185541" w:rsidRPr="00B07C95" w:rsidRDefault="00185541" w:rsidP="006806B4">
      <w:pPr>
        <w:numPr>
          <w:ilvl w:val="0"/>
          <w:numId w:val="4"/>
        </w:numPr>
        <w:contextualSpacing/>
        <w:rPr>
          <w:rFonts w:ascii="Calibri" w:eastAsia="Times New Roman" w:hAnsi="Calibri" w:cs="Times New Roman"/>
          <w:szCs w:val="20"/>
          <w:lang w:eastAsia="fr-FR"/>
        </w:rPr>
      </w:pPr>
      <w:r w:rsidRPr="00B07C95">
        <w:rPr>
          <w:rFonts w:ascii="Calibri" w:eastAsia="Times New Roman" w:hAnsi="Calibri" w:cs="Times New Roman"/>
          <w:szCs w:val="20"/>
          <w:lang w:eastAsia="fr-FR"/>
        </w:rPr>
        <w:t>for uncorrelated uncertainties (data are independent)</w:t>
      </w:r>
    </w:p>
    <w:p w14:paraId="6C818010" w14:textId="77777777" w:rsidR="00185541" w:rsidRPr="00B07C95" w:rsidRDefault="00185541" w:rsidP="00185541">
      <w:pPr>
        <w:rPr>
          <w:rFonts w:ascii="Calibri" w:eastAsia="Times New Roman" w:hAnsi="Calibri" w:cs="Times New Roman"/>
          <w:i/>
          <w:szCs w:val="20"/>
          <w:lang w:eastAsia="fr-FR"/>
        </w:rPr>
      </w:pPr>
      <m:oMathPara>
        <m:oMathParaPr>
          <m:jc m:val="center"/>
        </m:oMathParaPr>
        <m:oMath>
          <m:r>
            <w:rPr>
              <w:rFonts w:ascii="Cambria Math" w:eastAsia="Times New Roman" w:hAnsi="Cambria Math" w:cs="Cambria Math"/>
              <w:szCs w:val="20"/>
              <w:lang w:eastAsia="fr-FR"/>
            </w:rPr>
            <m:t>U(total)=</m:t>
          </m:r>
          <m:f>
            <m:fPr>
              <m:ctrlPr>
                <w:rPr>
                  <w:rFonts w:ascii="Cambria Math" w:eastAsia="Times New Roman" w:hAnsi="Cambria Math" w:cs="Cambria Math"/>
                  <w:i/>
                  <w:szCs w:val="20"/>
                  <w:lang w:eastAsia="fr-FR"/>
                </w:rPr>
              </m:ctrlPr>
            </m:fPr>
            <m:num>
              <m:rad>
                <m:radPr>
                  <m:degHide m:val="1"/>
                  <m:ctrlPr>
                    <w:rPr>
                      <w:rFonts w:ascii="Cambria Math" w:eastAsia="Times New Roman" w:hAnsi="Cambria Math" w:cs="Cambria Math"/>
                      <w:i/>
                      <w:szCs w:val="20"/>
                      <w:lang w:eastAsia="fr-FR"/>
                    </w:rPr>
                  </m:ctrlPr>
                </m:radPr>
                <m:deg/>
                <m:e>
                  <m:sSup>
                    <m:sSupPr>
                      <m:ctrlPr>
                        <w:rPr>
                          <w:rFonts w:ascii="Cambria Math" w:eastAsia="Times New Roman" w:hAnsi="Cambria Math" w:cs="Cambria Math"/>
                          <w:i/>
                          <w:szCs w:val="20"/>
                          <w:lang w:eastAsia="fr-FR"/>
                        </w:rPr>
                      </m:ctrlPr>
                    </m:sSupPr>
                    <m:e>
                      <m:d>
                        <m:dPr>
                          <m:ctrlPr>
                            <w:rPr>
                              <w:rFonts w:ascii="Cambria Math" w:eastAsia="Times New Roman" w:hAnsi="Cambria Math" w:cs="Cambria Math"/>
                              <w:i/>
                              <w:szCs w:val="20"/>
                              <w:lang w:eastAsia="fr-FR"/>
                            </w:rPr>
                          </m:ctrlPr>
                        </m:dPr>
                        <m:e>
                          <m:r>
                            <w:rPr>
                              <w:rFonts w:ascii="Cambria Math" w:eastAsia="Times New Roman" w:hAnsi="Cambria Math" w:cs="Cambria Math"/>
                              <w:szCs w:val="20"/>
                              <w:lang w:eastAsia="fr-FR"/>
                            </w:rPr>
                            <m:t>U</m:t>
                          </m:r>
                          <m:r>
                            <m:rPr>
                              <m:nor/>
                            </m:rPr>
                            <w:rPr>
                              <w:rFonts w:ascii="Cambria Math" w:eastAsia="Times New Roman" w:hAnsi="Cambria Math" w:cs="Cambria Math"/>
                              <w:szCs w:val="20"/>
                              <w:lang w:eastAsia="fr-FR"/>
                            </w:rPr>
                            <m:t>1</m:t>
                          </m:r>
                          <m:r>
                            <w:rPr>
                              <w:rFonts w:ascii="Cambria Math" w:eastAsia="Times New Roman" w:hAnsi="Cambria Math" w:cs="Cambria Math"/>
                              <w:szCs w:val="20"/>
                              <w:lang w:eastAsia="fr-FR"/>
                            </w:rPr>
                            <m:t xml:space="preserve"> . x1</m:t>
                          </m:r>
                        </m:e>
                      </m:d>
                    </m:e>
                    <m:sup>
                      <m:r>
                        <w:rPr>
                          <w:rFonts w:ascii="Cambria Math" w:eastAsia="Times New Roman" w:hAnsi="Cambria Math" w:cs="Cambria Math"/>
                          <w:szCs w:val="20"/>
                          <w:lang w:eastAsia="fr-FR"/>
                        </w:rPr>
                        <m:t>2</m:t>
                      </m:r>
                    </m:sup>
                  </m:sSup>
                  <m:r>
                    <w:rPr>
                      <w:rFonts w:ascii="Cambria Math" w:eastAsia="Times New Roman" w:hAnsi="Cambria Math" w:cs="Cambria Math"/>
                      <w:szCs w:val="20"/>
                      <w:lang w:eastAsia="fr-FR"/>
                    </w:rPr>
                    <m:t>+</m:t>
                  </m:r>
                  <m:sSup>
                    <m:sSupPr>
                      <m:ctrlPr>
                        <w:rPr>
                          <w:rFonts w:ascii="Cambria Math" w:eastAsia="Times New Roman" w:hAnsi="Cambria Math" w:cs="Cambria Math"/>
                          <w:i/>
                          <w:szCs w:val="20"/>
                          <w:lang w:eastAsia="fr-FR"/>
                        </w:rPr>
                      </m:ctrlPr>
                    </m:sSupPr>
                    <m:e>
                      <m:d>
                        <m:dPr>
                          <m:ctrlPr>
                            <w:rPr>
                              <w:rFonts w:ascii="Cambria Math" w:eastAsia="Times New Roman" w:hAnsi="Cambria Math" w:cs="Cambria Math"/>
                              <w:i/>
                              <w:szCs w:val="20"/>
                              <w:lang w:eastAsia="fr-FR"/>
                            </w:rPr>
                          </m:ctrlPr>
                        </m:dPr>
                        <m:e>
                          <m:r>
                            <w:rPr>
                              <w:rFonts w:ascii="Cambria Math" w:eastAsia="Times New Roman" w:hAnsi="Cambria Math" w:cs="Cambria Math"/>
                              <w:szCs w:val="20"/>
                              <w:lang w:eastAsia="fr-FR"/>
                            </w:rPr>
                            <m:t>U2 . x2</m:t>
                          </m:r>
                        </m:e>
                      </m:d>
                    </m:e>
                    <m:sup>
                      <m:r>
                        <w:rPr>
                          <w:rFonts w:ascii="Cambria Math" w:eastAsia="Times New Roman" w:hAnsi="Cambria Math" w:cs="Cambria Math"/>
                          <w:szCs w:val="20"/>
                          <w:lang w:eastAsia="fr-FR"/>
                        </w:rPr>
                        <m:t>2</m:t>
                      </m:r>
                    </m:sup>
                  </m:sSup>
                  <m:r>
                    <w:rPr>
                      <w:rFonts w:ascii="Cambria Math" w:eastAsia="Times New Roman" w:hAnsi="Cambria Math" w:cs="Cambria Math"/>
                      <w:szCs w:val="20"/>
                      <w:lang w:eastAsia="fr-FR"/>
                    </w:rPr>
                    <m:t>+…+(Un . xn)²</m:t>
                  </m:r>
                </m:e>
              </m:rad>
            </m:num>
            <m:den>
              <m:r>
                <w:rPr>
                  <w:rFonts w:ascii="Cambria Math" w:eastAsia="Times New Roman" w:hAnsi="Cambria Math" w:cs="Cambria Math"/>
                  <w:szCs w:val="20"/>
                  <w:lang w:eastAsia="fr-FR"/>
                </w:rPr>
                <m:t>x1+x2+…+xn</m:t>
              </m:r>
            </m:den>
          </m:f>
        </m:oMath>
      </m:oMathPara>
    </w:p>
    <w:p w14:paraId="3F1ACE1D" w14:textId="77777777" w:rsidR="00185541" w:rsidRPr="00B07C95" w:rsidRDefault="00185541" w:rsidP="006806B4">
      <w:pPr>
        <w:numPr>
          <w:ilvl w:val="0"/>
          <w:numId w:val="4"/>
        </w:numPr>
        <w:contextualSpacing/>
        <w:rPr>
          <w:rFonts w:ascii="Calibri" w:eastAsia="Times New Roman" w:hAnsi="Calibri" w:cs="Times New Roman"/>
          <w:szCs w:val="20"/>
          <w:lang w:eastAsia="fr-FR"/>
        </w:rPr>
      </w:pPr>
      <w:r w:rsidRPr="00B07C95">
        <w:rPr>
          <w:rFonts w:ascii="Calibri" w:eastAsia="Times New Roman" w:hAnsi="Calibri" w:cs="Times New Roman"/>
          <w:szCs w:val="20"/>
          <w:lang w:eastAsia="fr-FR"/>
        </w:rPr>
        <w:t>for interdependent uncertainties</w:t>
      </w:r>
    </w:p>
    <w:p w14:paraId="02620262" w14:textId="77777777" w:rsidR="00185541" w:rsidRPr="00B07C95" w:rsidRDefault="00185541" w:rsidP="00185541">
      <w:pPr>
        <w:rPr>
          <w:rFonts w:ascii="Calibri" w:eastAsia="Times New Roman" w:hAnsi="Calibri" w:cs="Times New Roman"/>
          <w:i/>
          <w:szCs w:val="20"/>
          <w:lang w:eastAsia="fr-FR"/>
        </w:rPr>
      </w:pPr>
      <m:oMathPara>
        <m:oMathParaPr>
          <m:jc m:val="center"/>
        </m:oMathParaPr>
        <m:oMath>
          <m:r>
            <w:rPr>
              <w:rFonts w:ascii="Cambria Math" w:eastAsia="Times New Roman" w:hAnsi="Cambria Math" w:cs="Cambria Math"/>
              <w:szCs w:val="20"/>
              <w:lang w:eastAsia="fr-FR"/>
            </w:rPr>
            <m:t>U(total)=</m:t>
          </m:r>
          <m:f>
            <m:fPr>
              <m:ctrlPr>
                <w:rPr>
                  <w:rFonts w:ascii="Cambria Math" w:eastAsia="Times New Roman" w:hAnsi="Cambria Math" w:cs="Cambria Math"/>
                  <w:i/>
                  <w:szCs w:val="20"/>
                  <w:lang w:eastAsia="fr-FR"/>
                </w:rPr>
              </m:ctrlPr>
            </m:fPr>
            <m:num>
              <m:r>
                <w:rPr>
                  <w:rFonts w:ascii="Cambria Math" w:eastAsia="Times New Roman" w:hAnsi="Cambria Math" w:cs="Cambria Math"/>
                  <w:szCs w:val="20"/>
                  <w:lang w:eastAsia="fr-FR"/>
                </w:rPr>
                <m:t>(U1 . x1)+(U2 . x2)+…+(Un . xn)</m:t>
              </m:r>
            </m:num>
            <m:den>
              <m:r>
                <w:rPr>
                  <w:rFonts w:ascii="Cambria Math" w:eastAsia="Times New Roman" w:hAnsi="Cambria Math" w:cs="Cambria Math"/>
                  <w:szCs w:val="20"/>
                  <w:lang w:eastAsia="fr-FR"/>
                </w:rPr>
                <m:t>x1+x2+…+xn</m:t>
              </m:r>
            </m:den>
          </m:f>
        </m:oMath>
      </m:oMathPara>
    </w:p>
    <w:p w14:paraId="050226E6" w14:textId="77777777" w:rsidR="00185541" w:rsidRPr="00B07C95" w:rsidRDefault="00185541" w:rsidP="00185541">
      <w:pPr>
        <w:rPr>
          <w:rFonts w:ascii="Calibri" w:eastAsia="Times New Roman" w:hAnsi="Calibri" w:cs="Times New Roman"/>
          <w:szCs w:val="20"/>
          <w:lang w:eastAsia="fr-FR"/>
        </w:rPr>
      </w:pPr>
      <w:r w:rsidRPr="00B07C95">
        <w:rPr>
          <w:rFonts w:ascii="Calibri" w:eastAsia="Times New Roman" w:hAnsi="Calibri" w:cs="Times New Roman"/>
          <w:szCs w:val="20"/>
          <w:lang w:eastAsia="fr-FR"/>
        </w:rPr>
        <w:t>Where:</w:t>
      </w:r>
    </w:p>
    <w:p w14:paraId="3E9AE900" w14:textId="77777777" w:rsidR="00185541" w:rsidRPr="00B07C95" w:rsidRDefault="00185541" w:rsidP="006806B4">
      <w:pPr>
        <w:numPr>
          <w:ilvl w:val="0"/>
          <w:numId w:val="4"/>
        </w:numPr>
        <w:contextualSpacing/>
        <w:rPr>
          <w:rFonts w:ascii="Calibri" w:eastAsia="Times New Roman" w:hAnsi="Calibri" w:cs="Times New Roman"/>
          <w:szCs w:val="20"/>
          <w:lang w:eastAsia="fr-FR"/>
        </w:rPr>
      </w:pPr>
      <w:r w:rsidRPr="00B07C95">
        <w:rPr>
          <w:rFonts w:ascii="Calibri" w:eastAsia="Times New Roman" w:hAnsi="Calibri" w:cs="Times New Roman"/>
          <w:szCs w:val="20"/>
          <w:lang w:eastAsia="fr-FR"/>
        </w:rPr>
        <w:t xml:space="preserve">U(total) is the uncertainty of the sum, expressed as a </w:t>
      </w:r>
      <w:proofErr w:type="gramStart"/>
      <w:r w:rsidRPr="00B07C95">
        <w:rPr>
          <w:rFonts w:ascii="Calibri" w:eastAsia="Times New Roman" w:hAnsi="Calibri" w:cs="Times New Roman"/>
          <w:szCs w:val="20"/>
          <w:lang w:eastAsia="fr-FR"/>
        </w:rPr>
        <w:t>percentage;</w:t>
      </w:r>
      <w:proofErr w:type="gramEnd"/>
    </w:p>
    <w:p w14:paraId="57E96C3F" w14:textId="4170640F" w:rsidR="00185541" w:rsidRPr="00B07C95" w:rsidRDefault="00185541" w:rsidP="006806B4">
      <w:pPr>
        <w:numPr>
          <w:ilvl w:val="0"/>
          <w:numId w:val="4"/>
        </w:numPr>
        <w:contextualSpacing/>
        <w:rPr>
          <w:rFonts w:ascii="Calibri" w:eastAsia="Times New Roman" w:hAnsi="Calibri" w:cs="Times New Roman"/>
          <w:i/>
          <w:szCs w:val="20"/>
          <w:lang w:eastAsia="fr-FR"/>
        </w:rPr>
      </w:pPr>
      <w:r w:rsidRPr="00B07C95">
        <w:rPr>
          <w:rFonts w:ascii="Calibri" w:eastAsia="Times New Roman" w:hAnsi="Calibri" w:cs="Times New Roman"/>
          <w:szCs w:val="20"/>
          <w:lang w:eastAsia="fr-FR"/>
        </w:rPr>
        <w:t>xi and Ui are the uncertain quantities and the percentage uncertainties associated with them, respectively</w:t>
      </w:r>
      <w:r w:rsidR="00F215BF">
        <w:rPr>
          <w:rFonts w:ascii="Calibri" w:eastAsia="Times New Roman" w:hAnsi="Calibri" w:cs="Times New Roman"/>
          <w:szCs w:val="20"/>
          <w:lang w:eastAsia="fr-FR"/>
        </w:rPr>
        <w:t>.</w:t>
      </w:r>
    </w:p>
    <w:p w14:paraId="30EA93D7" w14:textId="77777777" w:rsidR="00185541" w:rsidRPr="00B07C95" w:rsidRDefault="00185541" w:rsidP="00185541">
      <w:pPr>
        <w:rPr>
          <w:rFonts w:ascii="Calibri" w:eastAsia="Times New Roman" w:hAnsi="Calibri" w:cs="Times New Roman"/>
          <w:szCs w:val="20"/>
          <w:lang w:eastAsia="fr-FR"/>
        </w:rPr>
      </w:pPr>
    </w:p>
    <w:p w14:paraId="3236689C" w14:textId="77777777" w:rsidR="00185541" w:rsidRPr="00B07C95" w:rsidRDefault="00185541" w:rsidP="003C78F0">
      <w:pPr>
        <w:pStyle w:val="Heading3"/>
      </w:pPr>
      <w:r w:rsidRPr="00B07C95">
        <w:t xml:space="preserve">Uncertainty of a product </w:t>
      </w:r>
    </w:p>
    <w:p w14:paraId="6C5809C7" w14:textId="77777777" w:rsidR="00185541" w:rsidRPr="00B07C95" w:rsidRDefault="00185541" w:rsidP="00185541">
      <w:pPr>
        <w:rPr>
          <w:rFonts w:ascii="Calibri" w:eastAsia="Times New Roman" w:hAnsi="Calibri" w:cs="Times New Roman"/>
          <w:szCs w:val="20"/>
          <w:lang w:eastAsia="fr-FR"/>
        </w:rPr>
      </w:pPr>
      <w:r w:rsidRPr="00B07C95">
        <w:rPr>
          <w:rFonts w:ascii="Calibri" w:eastAsia="Times New Roman" w:hAnsi="Calibri" w:cs="Times New Roman"/>
          <w:szCs w:val="20"/>
          <w:lang w:eastAsia="fr-FR"/>
        </w:rPr>
        <w:t xml:space="preserve">Example </w:t>
      </w:r>
      <w:proofErr w:type="gramStart"/>
      <w:r w:rsidRPr="00B07C95">
        <w:rPr>
          <w:rFonts w:ascii="Calibri" w:eastAsia="Times New Roman" w:hAnsi="Calibri" w:cs="Times New Roman"/>
          <w:szCs w:val="20"/>
          <w:lang w:eastAsia="fr-FR"/>
        </w:rPr>
        <w:t>given:</w:t>
      </w:r>
      <w:proofErr w:type="gramEnd"/>
      <w:r w:rsidRPr="00B07C95">
        <w:rPr>
          <w:rFonts w:ascii="Calibri" w:eastAsia="Times New Roman" w:hAnsi="Calibri" w:cs="Times New Roman"/>
          <w:szCs w:val="20"/>
          <w:lang w:eastAsia="fr-FR"/>
        </w:rPr>
        <w:t xml:space="preserve">  different parameters used to convert a meter reading into mass flow data</w:t>
      </w:r>
    </w:p>
    <w:p w14:paraId="087C00B9" w14:textId="77777777" w:rsidR="00185541" w:rsidRPr="00B07C95" w:rsidRDefault="00185541" w:rsidP="006806B4">
      <w:pPr>
        <w:numPr>
          <w:ilvl w:val="0"/>
          <w:numId w:val="4"/>
        </w:numPr>
        <w:contextualSpacing/>
        <w:rPr>
          <w:rFonts w:ascii="Calibri" w:eastAsia="Times New Roman" w:hAnsi="Calibri" w:cs="Times New Roman"/>
          <w:szCs w:val="20"/>
          <w:lang w:eastAsia="fr-FR"/>
        </w:rPr>
      </w:pPr>
      <w:r w:rsidRPr="00B07C95">
        <w:rPr>
          <w:rFonts w:ascii="Calibri" w:eastAsia="Times New Roman" w:hAnsi="Calibri" w:cs="Times New Roman"/>
          <w:szCs w:val="20"/>
          <w:lang w:eastAsia="fr-FR"/>
        </w:rPr>
        <w:t>for uncorrelated uncertainties (data are independent)</w:t>
      </w:r>
    </w:p>
    <w:p w14:paraId="18345C34" w14:textId="77777777" w:rsidR="00185541" w:rsidRPr="00B07C95" w:rsidRDefault="00185541" w:rsidP="00185541">
      <w:pPr>
        <w:rPr>
          <w:rFonts w:ascii="Calibri" w:eastAsia="Times New Roman" w:hAnsi="Calibri" w:cs="Times New Roman"/>
          <w:i/>
          <w:szCs w:val="20"/>
          <w:lang w:eastAsia="fr-FR"/>
        </w:rPr>
      </w:pPr>
      <m:oMathPara>
        <m:oMathParaPr>
          <m:jc m:val="center"/>
        </m:oMathParaPr>
        <m:oMath>
          <m:r>
            <w:rPr>
              <w:rFonts w:ascii="Cambria Math" w:eastAsia="Times New Roman" w:hAnsi="Cambria Math" w:cs="Cambria Math"/>
              <w:szCs w:val="20"/>
              <w:lang w:eastAsia="fr-FR"/>
            </w:rPr>
            <m:t>U(total)=</m:t>
          </m:r>
          <m:rad>
            <m:radPr>
              <m:degHide m:val="1"/>
              <m:ctrlPr>
                <w:rPr>
                  <w:rFonts w:ascii="Cambria Math" w:eastAsia="Times New Roman" w:hAnsi="Cambria Math" w:cs="Cambria Math"/>
                  <w:i/>
                  <w:szCs w:val="20"/>
                  <w:lang w:eastAsia="fr-FR"/>
                </w:rPr>
              </m:ctrlPr>
            </m:radPr>
            <m:deg/>
            <m:e>
              <m:sSup>
                <m:sSupPr>
                  <m:ctrlPr>
                    <w:rPr>
                      <w:rFonts w:ascii="Cambria Math" w:eastAsia="Times New Roman" w:hAnsi="Cambria Math" w:cs="Cambria Math"/>
                      <w:i/>
                      <w:szCs w:val="20"/>
                      <w:lang w:eastAsia="fr-FR"/>
                    </w:rPr>
                  </m:ctrlPr>
                </m:sSupPr>
                <m:e>
                  <m:r>
                    <w:rPr>
                      <w:rFonts w:ascii="Cambria Math" w:eastAsia="Times New Roman" w:hAnsi="Cambria Math" w:cs="Cambria Math"/>
                      <w:szCs w:val="20"/>
                      <w:lang w:eastAsia="fr-FR"/>
                    </w:rPr>
                    <m:t>U1</m:t>
                  </m:r>
                </m:e>
                <m:sup>
                  <m:r>
                    <w:rPr>
                      <w:rFonts w:ascii="Cambria Math" w:eastAsia="Times New Roman" w:hAnsi="Cambria Math" w:cs="Cambria Math"/>
                      <w:szCs w:val="20"/>
                      <w:lang w:eastAsia="fr-FR"/>
                    </w:rPr>
                    <m:t>2</m:t>
                  </m:r>
                </m:sup>
              </m:sSup>
              <m:r>
                <w:rPr>
                  <w:rFonts w:ascii="Cambria Math" w:eastAsia="Times New Roman" w:hAnsi="Cambria Math" w:cs="Cambria Math"/>
                  <w:szCs w:val="20"/>
                  <w:lang w:eastAsia="fr-FR"/>
                </w:rPr>
                <m:t>+</m:t>
              </m:r>
              <m:sSup>
                <m:sSupPr>
                  <m:ctrlPr>
                    <w:rPr>
                      <w:rFonts w:ascii="Cambria Math" w:eastAsia="Times New Roman" w:hAnsi="Cambria Math" w:cs="Cambria Math"/>
                      <w:i/>
                      <w:szCs w:val="20"/>
                      <w:lang w:eastAsia="fr-FR"/>
                    </w:rPr>
                  </m:ctrlPr>
                </m:sSupPr>
                <m:e>
                  <m:r>
                    <w:rPr>
                      <w:rFonts w:ascii="Cambria Math" w:eastAsia="Times New Roman" w:hAnsi="Cambria Math" w:cs="Cambria Math"/>
                      <w:szCs w:val="20"/>
                      <w:lang w:eastAsia="fr-FR"/>
                    </w:rPr>
                    <m:t>U2</m:t>
                  </m:r>
                </m:e>
                <m:sup>
                  <m:r>
                    <w:rPr>
                      <w:rFonts w:ascii="Cambria Math" w:eastAsia="Times New Roman" w:hAnsi="Cambria Math" w:cs="Cambria Math"/>
                      <w:szCs w:val="20"/>
                      <w:lang w:eastAsia="fr-FR"/>
                    </w:rPr>
                    <m:t>2</m:t>
                  </m:r>
                </m:sup>
              </m:sSup>
              <m:r>
                <w:rPr>
                  <w:rFonts w:ascii="Cambria Math" w:eastAsia="Times New Roman" w:hAnsi="Cambria Math" w:cs="Cambria Math"/>
                  <w:szCs w:val="20"/>
                  <w:lang w:eastAsia="fr-FR"/>
                </w:rPr>
                <m:t>+…+Un²</m:t>
              </m:r>
            </m:e>
          </m:rad>
        </m:oMath>
      </m:oMathPara>
    </w:p>
    <w:p w14:paraId="2BC1E3B3" w14:textId="77777777" w:rsidR="00185541" w:rsidRPr="00B07C95" w:rsidRDefault="00185541" w:rsidP="006806B4">
      <w:pPr>
        <w:numPr>
          <w:ilvl w:val="0"/>
          <w:numId w:val="4"/>
        </w:numPr>
        <w:contextualSpacing/>
        <w:rPr>
          <w:rFonts w:ascii="Calibri" w:eastAsia="Times New Roman" w:hAnsi="Calibri" w:cs="Times New Roman"/>
          <w:szCs w:val="20"/>
          <w:lang w:eastAsia="fr-FR"/>
        </w:rPr>
      </w:pPr>
      <w:r w:rsidRPr="00B07C95">
        <w:rPr>
          <w:rFonts w:ascii="Calibri" w:eastAsia="Times New Roman" w:hAnsi="Calibri" w:cs="Times New Roman"/>
          <w:szCs w:val="20"/>
          <w:lang w:eastAsia="fr-FR"/>
        </w:rPr>
        <w:t>for interdependent uncertainties</w:t>
      </w:r>
    </w:p>
    <w:p w14:paraId="48491555" w14:textId="77777777" w:rsidR="00185541" w:rsidRPr="00B07C95" w:rsidRDefault="00185541" w:rsidP="003C78F0">
      <w:pPr>
        <w:rPr>
          <w:rFonts w:ascii="Calibri" w:hAnsi="Calibri" w:cs="Times New Roman"/>
          <w:lang w:eastAsia="fr-FR"/>
        </w:rPr>
      </w:pPr>
      <m:oMathPara>
        <m:oMathParaPr>
          <m:jc m:val="center"/>
        </m:oMathParaPr>
        <m:oMath>
          <m:r>
            <w:rPr>
              <w:rFonts w:ascii="Cambria Math" w:hAnsi="Cambria Math"/>
              <w:lang w:eastAsia="fr-FR"/>
            </w:rPr>
            <m:t>U</m:t>
          </m:r>
          <m:d>
            <m:dPr>
              <m:ctrlPr>
                <w:rPr>
                  <w:rFonts w:ascii="Cambria Math" w:hAnsi="Cambria Math"/>
                  <w:lang w:eastAsia="fr-FR"/>
                </w:rPr>
              </m:ctrlPr>
            </m:dPr>
            <m:e>
              <m:r>
                <w:rPr>
                  <w:rFonts w:ascii="Cambria Math" w:hAnsi="Cambria Math"/>
                  <w:lang w:eastAsia="fr-FR"/>
                </w:rPr>
                <m:t>total</m:t>
              </m:r>
            </m:e>
          </m:d>
          <m:r>
            <m:rPr>
              <m:sty m:val="p"/>
            </m:rPr>
            <w:rPr>
              <w:rFonts w:ascii="Cambria Math" w:hAnsi="Cambria Math"/>
              <w:lang w:eastAsia="fr-FR"/>
            </w:rPr>
            <m:t>=</m:t>
          </m:r>
          <m:r>
            <w:rPr>
              <w:rFonts w:ascii="Cambria Math" w:hAnsi="Cambria Math"/>
              <w:lang w:eastAsia="fr-FR"/>
            </w:rPr>
            <m:t>U</m:t>
          </m:r>
          <m:r>
            <m:rPr>
              <m:sty m:val="p"/>
            </m:rPr>
            <w:rPr>
              <w:rFonts w:ascii="Cambria Math" w:hAnsi="Cambria Math"/>
              <w:lang w:eastAsia="fr-FR"/>
            </w:rPr>
            <m:t>1+</m:t>
          </m:r>
          <m:r>
            <w:rPr>
              <w:rFonts w:ascii="Cambria Math" w:hAnsi="Cambria Math"/>
              <w:lang w:eastAsia="fr-FR"/>
            </w:rPr>
            <m:t>U</m:t>
          </m:r>
          <m:r>
            <m:rPr>
              <m:sty m:val="p"/>
            </m:rPr>
            <w:rPr>
              <w:rFonts w:ascii="Cambria Math" w:hAnsi="Cambria Math"/>
              <w:lang w:eastAsia="fr-FR"/>
            </w:rPr>
            <m:t>2+…+</m:t>
          </m:r>
          <m:r>
            <w:rPr>
              <w:rFonts w:ascii="Cambria Math" w:hAnsi="Cambria Math"/>
              <w:lang w:eastAsia="fr-FR"/>
            </w:rPr>
            <m:t>Un</m:t>
          </m:r>
        </m:oMath>
      </m:oMathPara>
    </w:p>
    <w:p w14:paraId="36C42669" w14:textId="77777777" w:rsidR="00185541" w:rsidRPr="00B07C95" w:rsidRDefault="00185541" w:rsidP="003C78F0">
      <w:pPr>
        <w:rPr>
          <w:lang w:eastAsia="fr-FR"/>
        </w:rPr>
      </w:pPr>
      <w:r w:rsidRPr="00B07C95">
        <w:rPr>
          <w:lang w:eastAsia="fr-FR"/>
        </w:rPr>
        <w:t>Where:</w:t>
      </w:r>
    </w:p>
    <w:p w14:paraId="1E025D64" w14:textId="77777777" w:rsidR="00185541" w:rsidRPr="00B07C95" w:rsidRDefault="00185541" w:rsidP="006806B4">
      <w:pPr>
        <w:numPr>
          <w:ilvl w:val="0"/>
          <w:numId w:val="4"/>
        </w:numPr>
        <w:contextualSpacing/>
        <w:rPr>
          <w:rFonts w:ascii="Calibri" w:eastAsia="Times New Roman" w:hAnsi="Calibri" w:cs="Times New Roman"/>
          <w:szCs w:val="20"/>
          <w:lang w:eastAsia="fr-FR"/>
        </w:rPr>
      </w:pPr>
      <w:r w:rsidRPr="00B07C95">
        <w:rPr>
          <w:rFonts w:ascii="Calibri" w:eastAsia="Times New Roman" w:hAnsi="Calibri" w:cs="Times New Roman"/>
          <w:szCs w:val="20"/>
          <w:lang w:eastAsia="fr-FR"/>
        </w:rPr>
        <w:t xml:space="preserve">U(total) is the uncertainty of the sum, expressed as a </w:t>
      </w:r>
      <w:proofErr w:type="gramStart"/>
      <w:r w:rsidRPr="00B07C95">
        <w:rPr>
          <w:rFonts w:ascii="Calibri" w:eastAsia="Times New Roman" w:hAnsi="Calibri" w:cs="Times New Roman"/>
          <w:szCs w:val="20"/>
          <w:lang w:eastAsia="fr-FR"/>
        </w:rPr>
        <w:t>percentage;</w:t>
      </w:r>
      <w:proofErr w:type="gramEnd"/>
    </w:p>
    <w:p w14:paraId="54A970CA" w14:textId="081B55F5" w:rsidR="00FD1EBC" w:rsidRPr="00432A05" w:rsidRDefault="00185541" w:rsidP="007E390B">
      <w:pPr>
        <w:numPr>
          <w:ilvl w:val="0"/>
          <w:numId w:val="4"/>
        </w:numPr>
        <w:spacing w:after="0" w:line="276" w:lineRule="auto"/>
        <w:contextualSpacing/>
        <w:jc w:val="center"/>
        <w:rPr>
          <w:rFonts w:ascii="EUAlbertina" w:eastAsia="Times New Roman" w:hAnsi="EUAlbertina" w:cs="EUAlbertina"/>
          <w:sz w:val="17"/>
          <w:szCs w:val="17"/>
          <w:lang w:eastAsia="fr-FR"/>
        </w:rPr>
      </w:pPr>
      <w:r w:rsidRPr="00432A05">
        <w:rPr>
          <w:rFonts w:ascii="Calibri" w:eastAsia="Times New Roman" w:hAnsi="Calibri" w:cs="Times New Roman"/>
          <w:szCs w:val="20"/>
          <w:lang w:eastAsia="fr-FR"/>
        </w:rPr>
        <w:t>Ui are the percentage uncertainties associated with each of the quantities</w:t>
      </w:r>
      <w:r w:rsidRPr="00432A05">
        <w:rPr>
          <w:rFonts w:ascii="EUAlbertina" w:eastAsia="Times New Roman" w:hAnsi="EUAlbertina" w:cs="EUAlbertina"/>
          <w:sz w:val="17"/>
          <w:szCs w:val="17"/>
          <w:lang w:eastAsia="fr-FR"/>
        </w:rPr>
        <w:t>.</w:t>
      </w:r>
    </w:p>
    <w:sectPr w:rsidR="00FD1EBC" w:rsidRPr="00432A05" w:rsidSect="005C77BD">
      <w:headerReference w:type="default" r:id="rId22"/>
      <w:footerReference w:type="default" r:id="rId23"/>
      <w:headerReference w:type="first" r:id="rId24"/>
      <w:pgSz w:w="11906" w:h="16838"/>
      <w:pgMar w:top="1531" w:right="851" w:bottom="851" w:left="85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8BDB" w14:textId="77777777" w:rsidR="006D54EB" w:rsidRDefault="006D54EB" w:rsidP="008C0AE0">
      <w:r>
        <w:separator/>
      </w:r>
    </w:p>
  </w:endnote>
  <w:endnote w:type="continuationSeparator" w:id="0">
    <w:p w14:paraId="4C412E00" w14:textId="77777777" w:rsidR="006D54EB" w:rsidRDefault="006D54EB" w:rsidP="008C0AE0">
      <w:r>
        <w:continuationSeparator/>
      </w:r>
    </w:p>
  </w:endnote>
  <w:endnote w:type="continuationNotice" w:id="1">
    <w:p w14:paraId="26B56257" w14:textId="77777777" w:rsidR="006D54EB" w:rsidRDefault="006D54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utiger LT Pro 57 Condensed">
    <w:altName w:val="Frutiger LT Pro 57 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InterFace-LightItalic">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EUAlbertina">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60B1" w14:textId="439AE76C" w:rsidR="00DA0ABA" w:rsidRPr="00DC2D6D" w:rsidRDefault="00000000" w:rsidP="00DC2D6D">
    <w:pPr>
      <w:pStyle w:val="Footer"/>
      <w:pBdr>
        <w:top w:val="single" w:sz="4" w:space="7" w:color="auto"/>
      </w:pBdr>
      <w:jc w:val="center"/>
      <w:rPr>
        <w:sz w:val="18"/>
        <w:szCs w:val="18"/>
      </w:rPr>
    </w:pPr>
    <w:sdt>
      <w:sdtPr>
        <w:id w:val="-1814475088"/>
        <w:docPartObj>
          <w:docPartGallery w:val="Page Numbers (Bottom of Page)"/>
          <w:docPartUnique/>
        </w:docPartObj>
      </w:sdtPr>
      <w:sdtContent>
        <w:sdt>
          <w:sdtPr>
            <w:id w:val="450133034"/>
            <w:docPartObj>
              <w:docPartGallery w:val="Page Numbers (Top of Page)"/>
              <w:docPartUnique/>
            </w:docPartObj>
          </w:sdtPr>
          <w:sdtContent>
            <w:r w:rsidR="00DA0ABA">
              <w:t xml:space="preserve">Page </w:t>
            </w:r>
            <w:r w:rsidR="00DA0ABA">
              <w:rPr>
                <w:b/>
                <w:bCs/>
                <w:sz w:val="24"/>
                <w:szCs w:val="24"/>
              </w:rPr>
              <w:fldChar w:fldCharType="begin"/>
            </w:r>
            <w:r w:rsidR="00DA0ABA">
              <w:rPr>
                <w:b/>
                <w:bCs/>
              </w:rPr>
              <w:instrText xml:space="preserve"> PAGE </w:instrText>
            </w:r>
            <w:r w:rsidR="00DA0ABA">
              <w:rPr>
                <w:b/>
                <w:bCs/>
                <w:sz w:val="24"/>
                <w:szCs w:val="24"/>
              </w:rPr>
              <w:fldChar w:fldCharType="separate"/>
            </w:r>
            <w:r w:rsidR="00DA0ABA">
              <w:rPr>
                <w:b/>
                <w:bCs/>
                <w:noProof/>
              </w:rPr>
              <w:t>10</w:t>
            </w:r>
            <w:r w:rsidR="00DA0ABA">
              <w:rPr>
                <w:b/>
                <w:bCs/>
                <w:sz w:val="24"/>
                <w:szCs w:val="24"/>
              </w:rPr>
              <w:fldChar w:fldCharType="end"/>
            </w:r>
            <w:r w:rsidR="00DA0ABA">
              <w:t xml:space="preserve"> of </w:t>
            </w:r>
            <w:r w:rsidR="00DA0ABA">
              <w:rPr>
                <w:b/>
                <w:bCs/>
                <w:sz w:val="24"/>
                <w:szCs w:val="24"/>
              </w:rPr>
              <w:fldChar w:fldCharType="begin"/>
            </w:r>
            <w:r w:rsidR="00DA0ABA">
              <w:rPr>
                <w:b/>
                <w:bCs/>
              </w:rPr>
              <w:instrText xml:space="preserve"> NUMPAGES  </w:instrText>
            </w:r>
            <w:r w:rsidR="00DA0ABA">
              <w:rPr>
                <w:b/>
                <w:bCs/>
                <w:sz w:val="24"/>
                <w:szCs w:val="24"/>
              </w:rPr>
              <w:fldChar w:fldCharType="separate"/>
            </w:r>
            <w:r w:rsidR="00DA0ABA">
              <w:rPr>
                <w:b/>
                <w:bCs/>
                <w:noProof/>
              </w:rPr>
              <w:t>24</w:t>
            </w:r>
            <w:r w:rsidR="00DA0ABA">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A140" w14:textId="77777777" w:rsidR="006D54EB" w:rsidRDefault="006D54EB" w:rsidP="008C0AE0">
      <w:r>
        <w:separator/>
      </w:r>
    </w:p>
  </w:footnote>
  <w:footnote w:type="continuationSeparator" w:id="0">
    <w:p w14:paraId="42E51793" w14:textId="77777777" w:rsidR="006D54EB" w:rsidRDefault="006D54EB" w:rsidP="008C0AE0">
      <w:r>
        <w:continuationSeparator/>
      </w:r>
    </w:p>
  </w:footnote>
  <w:footnote w:type="continuationNotice" w:id="1">
    <w:p w14:paraId="752D0641" w14:textId="77777777" w:rsidR="006D54EB" w:rsidRDefault="006D54EB">
      <w:pPr>
        <w:spacing w:after="0"/>
      </w:pPr>
    </w:p>
  </w:footnote>
  <w:footnote w:id="2">
    <w:p w14:paraId="7925563E" w14:textId="77777777" w:rsidR="00DA0ABA" w:rsidRPr="001E73DA" w:rsidRDefault="00DA0ABA" w:rsidP="00AA3F98">
      <w:pPr>
        <w:spacing w:after="0"/>
        <w:rPr>
          <w:i/>
          <w:sz w:val="16"/>
        </w:rPr>
      </w:pPr>
      <w:r w:rsidRPr="001E73DA">
        <w:rPr>
          <w:rStyle w:val="FootnoteReference"/>
          <w:rFonts w:cs="Calibri"/>
          <w:i/>
          <w:sz w:val="16"/>
        </w:rPr>
        <w:footnoteRef/>
      </w:r>
      <w:r w:rsidRPr="001E73DA">
        <w:rPr>
          <w:i/>
          <w:sz w:val="16"/>
        </w:rPr>
        <w:t xml:space="preserve"> </w:t>
      </w:r>
      <w:r w:rsidRPr="00336556">
        <w:rPr>
          <w:i/>
          <w:sz w:val="16"/>
          <w:lang w:val="en-ZA"/>
        </w:rPr>
        <w:t xml:space="preserve">IPIECA/API/IOGP Oil and gas industry guidance on voluntary sustainability reporting, 2015 </w:t>
      </w:r>
    </w:p>
  </w:footnote>
  <w:footnote w:id="3">
    <w:p w14:paraId="286A8834" w14:textId="77777777" w:rsidR="00DA0ABA" w:rsidRPr="00A84101" w:rsidRDefault="00DA0ABA" w:rsidP="00AA3F98">
      <w:pPr>
        <w:spacing w:after="0"/>
      </w:pPr>
      <w:r w:rsidRPr="00336556">
        <w:rPr>
          <w:i/>
          <w:sz w:val="16"/>
          <w:vertAlign w:val="superscript"/>
        </w:rPr>
        <w:footnoteRef/>
      </w:r>
      <w:r w:rsidRPr="00336556">
        <w:rPr>
          <w:i/>
          <w:sz w:val="16"/>
          <w:vertAlign w:val="superscript"/>
        </w:rPr>
        <w:t xml:space="preserve"> </w:t>
      </w:r>
      <w:r w:rsidRPr="00336556">
        <w:rPr>
          <w:i/>
          <w:sz w:val="16"/>
        </w:rPr>
        <w:t>http://www.ipcc.ch/publications_and_data/ar4/wg1/en/ch2s2-10-2.html#table-2-14</w:t>
      </w:r>
      <w:r w:rsidRPr="004D6668">
        <w:rPr>
          <w:sz w:val="16"/>
        </w:rPr>
        <w:t xml:space="preserve"> </w:t>
      </w:r>
    </w:p>
  </w:footnote>
  <w:footnote w:id="4">
    <w:p w14:paraId="512FCA0B" w14:textId="7ABB50B1" w:rsidR="00DA0ABA" w:rsidRPr="00B64738" w:rsidRDefault="00DA0ABA" w:rsidP="00B64738">
      <w:pPr>
        <w:pStyle w:val="FootnoteText"/>
        <w:spacing w:after="0"/>
        <w:rPr>
          <w:i/>
          <w:iCs/>
          <w:sz w:val="16"/>
          <w:szCs w:val="16"/>
        </w:rPr>
      </w:pPr>
      <w:r w:rsidRPr="00B64738">
        <w:rPr>
          <w:rStyle w:val="FootnoteReference"/>
          <w:i/>
          <w:iCs/>
          <w:sz w:val="16"/>
          <w:szCs w:val="16"/>
        </w:rPr>
        <w:footnoteRef/>
      </w:r>
      <w:r w:rsidRPr="00B64738">
        <w:rPr>
          <w:i/>
          <w:iCs/>
          <w:sz w:val="16"/>
          <w:szCs w:val="16"/>
        </w:rPr>
        <w:t xml:space="preserve"> The point of sale (POS) is defined as the place/device of transfer of ownership of the product to the downstream player, which may be a third party or a downstream business unit within the same company.</w:t>
      </w:r>
      <w:r>
        <w:rPr>
          <w:i/>
          <w:iCs/>
          <w:sz w:val="16"/>
          <w:szCs w:val="16"/>
        </w:rPr>
        <w:t xml:space="preserve"> In the case where the LNG plant is located beside the production plant and where all the assets are operated by the same business unit, the point of sale will be defined as the input of the LNG plant and all the side-emissions will be accounted to the upstream boundary except those emitted in the LNG plant.</w:t>
      </w:r>
    </w:p>
  </w:footnote>
  <w:footnote w:id="5">
    <w:p w14:paraId="516BB200" w14:textId="1263E0F4" w:rsidR="00DA0ABA" w:rsidRPr="00B64738" w:rsidRDefault="00DA0ABA" w:rsidP="00B5203F">
      <w:pPr>
        <w:autoSpaceDE w:val="0"/>
        <w:autoSpaceDN w:val="0"/>
        <w:adjustRightInd w:val="0"/>
        <w:spacing w:after="0"/>
        <w:jc w:val="left"/>
        <w:rPr>
          <w:i/>
          <w:iCs/>
          <w:sz w:val="16"/>
          <w:szCs w:val="16"/>
        </w:rPr>
      </w:pPr>
      <w:r w:rsidRPr="00B64738">
        <w:rPr>
          <w:rStyle w:val="FootnoteReference"/>
          <w:i/>
          <w:iCs/>
          <w:sz w:val="16"/>
          <w:szCs w:val="16"/>
        </w:rPr>
        <w:footnoteRef/>
      </w:r>
      <w:r w:rsidRPr="00B64738">
        <w:rPr>
          <w:i/>
          <w:iCs/>
          <w:sz w:val="16"/>
          <w:szCs w:val="16"/>
        </w:rPr>
        <w:t xml:space="preserve"> International Energy Agency, World Energy Outlook 2017: “</w:t>
      </w:r>
      <w:r w:rsidRPr="00B64738">
        <w:rPr>
          <w:rFonts w:ascii="Calibri" w:hAnsi="Calibri" w:cs="Calibri"/>
          <w:i/>
          <w:iCs/>
          <w:sz w:val="16"/>
          <w:szCs w:val="16"/>
        </w:rPr>
        <w:t>For simplicity, the oil and gas sectors are divided into upstream and downstream segments and then further into the subsectors of production, gathering</w:t>
      </w:r>
      <w:r>
        <w:rPr>
          <w:rFonts w:ascii="Calibri" w:hAnsi="Calibri" w:cs="Calibri"/>
          <w:i/>
          <w:iCs/>
          <w:sz w:val="16"/>
          <w:szCs w:val="16"/>
        </w:rPr>
        <w:t xml:space="preserve"> </w:t>
      </w:r>
      <w:r w:rsidRPr="00B64738">
        <w:rPr>
          <w:rFonts w:ascii="Calibri" w:hAnsi="Calibri" w:cs="Calibri"/>
          <w:i/>
          <w:iCs/>
          <w:sz w:val="16"/>
          <w:szCs w:val="16"/>
        </w:rPr>
        <w:t>and processing, refining, transmission and distribution. The production subsector includes all onshore and offshore oil and gas facilities from either conventional or unconventional reservoirs. Liquefaction of natural gas, transportation either by pipeline or as liquefied natural gas (LNG) and regasification are included in downstream processes in our methane emissions estimation</w:t>
      </w:r>
      <w:r w:rsidRPr="00B64738">
        <w:rPr>
          <w:i/>
          <w:iCs/>
          <w:sz w:val="16"/>
          <w:szCs w:val="16"/>
        </w:rPr>
        <w:t>”</w:t>
      </w:r>
    </w:p>
  </w:footnote>
  <w:footnote w:id="6">
    <w:p w14:paraId="1ACD5E14" w14:textId="77777777" w:rsidR="00DA0ABA" w:rsidRPr="00336556" w:rsidRDefault="00DA0ABA" w:rsidP="0029589C">
      <w:pPr>
        <w:pStyle w:val="NoSpace"/>
        <w:rPr>
          <w:i/>
          <w:iCs/>
          <w:sz w:val="16"/>
          <w:szCs w:val="16"/>
        </w:rPr>
      </w:pPr>
      <w:r w:rsidRPr="00585006">
        <w:rPr>
          <w:rStyle w:val="FootnoteReference"/>
          <w:i/>
          <w:iCs/>
          <w:sz w:val="16"/>
          <w:szCs w:val="16"/>
        </w:rPr>
        <w:footnoteRef/>
      </w:r>
      <w:r w:rsidRPr="00585006">
        <w:rPr>
          <w:i/>
          <w:iCs/>
          <w:sz w:val="16"/>
          <w:szCs w:val="16"/>
        </w:rPr>
        <w:t xml:space="preserve"> The point of sale (POS) is defined as the place/device of transfer of ownership of the product to the downstream player </w:t>
      </w:r>
    </w:p>
  </w:footnote>
  <w:footnote w:id="7">
    <w:p w14:paraId="539EDD76" w14:textId="77777777" w:rsidR="00DA0ABA" w:rsidRPr="00336556" w:rsidRDefault="00DA0ABA" w:rsidP="0029589C">
      <w:pPr>
        <w:pStyle w:val="NoSpace"/>
        <w:rPr>
          <w:rFonts w:cs="Calibri"/>
          <w:i/>
          <w:iCs/>
          <w:sz w:val="16"/>
          <w:szCs w:val="16"/>
        </w:rPr>
      </w:pPr>
      <w:r w:rsidRPr="00336556">
        <w:rPr>
          <w:rStyle w:val="FootnoteReference"/>
          <w:i/>
          <w:iCs/>
          <w:sz w:val="16"/>
          <w:szCs w:val="16"/>
        </w:rPr>
        <w:footnoteRef/>
      </w:r>
      <w:r w:rsidRPr="00336556">
        <w:rPr>
          <w:i/>
          <w:iCs/>
          <w:sz w:val="16"/>
          <w:szCs w:val="16"/>
        </w:rPr>
        <w:t xml:space="preserve"> International Energy Agency, World Energy Outlook 2017: “</w:t>
      </w:r>
      <w:r w:rsidRPr="00336556">
        <w:rPr>
          <w:rFonts w:cs="Calibri"/>
          <w:i/>
          <w:iCs/>
          <w:sz w:val="16"/>
          <w:szCs w:val="16"/>
        </w:rPr>
        <w:t>For simplicity, the oil and gas sectors are divided into upstream and downstream segments and then further into the subsectors of production, gathering</w:t>
      </w:r>
    </w:p>
    <w:p w14:paraId="10A2DA8D" w14:textId="77777777" w:rsidR="00DA0ABA" w:rsidRDefault="00DA0ABA" w:rsidP="0029589C">
      <w:pPr>
        <w:pStyle w:val="NoSpace"/>
      </w:pPr>
      <w:r w:rsidRPr="00336556">
        <w:rPr>
          <w:rFonts w:cs="Calibri"/>
          <w:i/>
          <w:iCs/>
          <w:sz w:val="16"/>
          <w:szCs w:val="16"/>
        </w:rPr>
        <w:t>and processing, refining, transmission and distribution. The production subsector includes all onshore and offshore oil and gas facilities from either conventional or unconventional reservoirs. Liquefaction of natural gas, transportation either by pipeline or as liquefied natural gas (LNG) and regasification are included in downstream processes in our methane emissions estimation</w:t>
      </w:r>
      <w:r w:rsidRPr="00336556">
        <w:rPr>
          <w:i/>
          <w:iCs/>
          <w:sz w:val="16"/>
          <w:szCs w:val="16"/>
        </w:rPr>
        <w:t>”</w:t>
      </w:r>
    </w:p>
  </w:footnote>
  <w:footnote w:id="8">
    <w:p w14:paraId="44F29628" w14:textId="77777777" w:rsidR="00DA0ABA" w:rsidRPr="00185541" w:rsidRDefault="00DA0ABA" w:rsidP="00336556">
      <w:pPr>
        <w:pStyle w:val="Testonotaapidipagina1"/>
        <w:spacing w:after="0"/>
        <w:rPr>
          <w:rFonts w:ascii="Calibri" w:hAnsi="Calibri" w:cs="Calibri"/>
          <w:szCs w:val="20"/>
        </w:rPr>
      </w:pPr>
      <w:r w:rsidRPr="00585006">
        <w:rPr>
          <w:rStyle w:val="FootnoteReference"/>
          <w:rFonts w:ascii="Calibri" w:hAnsi="Calibri" w:cs="Calibri"/>
          <w:i/>
          <w:sz w:val="16"/>
          <w:szCs w:val="16"/>
        </w:rPr>
        <w:footnoteRef/>
      </w:r>
      <w:r w:rsidRPr="00336556">
        <w:rPr>
          <w:rFonts w:ascii="Calibri" w:hAnsi="Calibri" w:cs="Calibri"/>
          <w:i/>
          <w:sz w:val="16"/>
          <w:szCs w:val="16"/>
        </w:rPr>
        <w:t xml:space="preserve"> The sum of the data T set has a variance equal to the sum of the variance of each data, which lead to V(T) = nσ². The standard deviation is the square root of the variance. The standard deviation of the mean is as such √n.σ/n = σ/√n. It is multiplied by 2 to remain in the 95% confidence interval.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8AE9" w14:textId="40B9FCB3" w:rsidR="00DA0ABA" w:rsidRPr="00826554" w:rsidRDefault="00DA0ABA" w:rsidP="00A4600D">
    <w:pPr>
      <w:pStyle w:val="Header"/>
      <w:tabs>
        <w:tab w:val="clear" w:pos="9072"/>
        <w:tab w:val="right" w:pos="10348"/>
      </w:tabs>
      <w:spacing w:after="0"/>
      <w:jc w:val="right"/>
      <w:rPr>
        <w:i/>
        <w:iCs/>
        <w:color w:val="7F7F7F" w:themeColor="text1" w:themeTint="80"/>
        <w:sz w:val="18"/>
        <w:szCs w:val="20"/>
      </w:rPr>
    </w:pPr>
    <w:r>
      <w:rPr>
        <w:noProof/>
        <w:lang w:val="it-IT" w:eastAsia="it-IT"/>
      </w:rPr>
      <w:drawing>
        <wp:anchor distT="0" distB="0" distL="114300" distR="114300" simplePos="0" relativeHeight="251658240" behindDoc="1" locked="0" layoutInCell="1" allowOverlap="1" wp14:anchorId="46F38DD2" wp14:editId="64222353">
          <wp:simplePos x="0" y="0"/>
          <wp:positionH relativeFrom="margin">
            <wp:align>left</wp:align>
          </wp:positionH>
          <wp:positionV relativeFrom="paragraph">
            <wp:posOffset>-140360</wp:posOffset>
          </wp:positionV>
          <wp:extent cx="969010" cy="459740"/>
          <wp:effectExtent l="0" t="0" r="2540" b="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9010" cy="459740"/>
                  </a:xfrm>
                  <a:prstGeom prst="rect">
                    <a:avLst/>
                  </a:prstGeom>
                  <a:noFill/>
                  <a:ln w="9525">
                    <a:noFill/>
                    <a:miter lim="800000"/>
                    <a:headEnd/>
                    <a:tailEnd/>
                  </a:ln>
                </pic:spPr>
              </pic:pic>
            </a:graphicData>
          </a:graphic>
        </wp:anchor>
      </w:drawing>
    </w:r>
    <w:r>
      <w:tab/>
    </w:r>
    <w:r w:rsidRPr="00826554">
      <w:rPr>
        <w:i/>
        <w:iCs/>
        <w:color w:val="7F7F7F" w:themeColor="text1" w:themeTint="80"/>
        <w:sz w:val="18"/>
        <w:szCs w:val="20"/>
      </w:rPr>
      <w:t>OGCI</w:t>
    </w:r>
    <w:r w:rsidRPr="00826554">
      <w:rPr>
        <w:color w:val="7F7F7F" w:themeColor="text1" w:themeTint="80"/>
        <w:sz w:val="18"/>
        <w:szCs w:val="20"/>
      </w:rPr>
      <w:t xml:space="preserve"> </w:t>
    </w:r>
    <w:r w:rsidRPr="00826554">
      <w:rPr>
        <w:i/>
        <w:iCs/>
        <w:color w:val="7F7F7F" w:themeColor="text1" w:themeTint="80"/>
        <w:sz w:val="18"/>
        <w:szCs w:val="20"/>
      </w:rPr>
      <w:t>Reporting Framework</w:t>
    </w:r>
  </w:p>
  <w:p w14:paraId="37A31B9F" w14:textId="6D157F6D" w:rsidR="00DA0ABA" w:rsidRDefault="000A65B6" w:rsidP="00826554">
    <w:pPr>
      <w:pStyle w:val="Header"/>
      <w:tabs>
        <w:tab w:val="clear" w:pos="9072"/>
        <w:tab w:val="right" w:pos="10348"/>
      </w:tabs>
      <w:spacing w:after="0"/>
      <w:jc w:val="right"/>
      <w:rPr>
        <w:i/>
        <w:iCs/>
        <w:color w:val="7F7F7F" w:themeColor="text1" w:themeTint="80"/>
        <w:sz w:val="18"/>
        <w:szCs w:val="20"/>
      </w:rPr>
    </w:pPr>
    <w:r>
      <w:rPr>
        <w:i/>
        <w:iCs/>
        <w:color w:val="7F7F7F" w:themeColor="text1" w:themeTint="80"/>
        <w:sz w:val="18"/>
        <w:szCs w:val="20"/>
      </w:rPr>
      <w:t>March</w:t>
    </w:r>
    <w:r w:rsidR="00B071D6" w:rsidRPr="00826554">
      <w:rPr>
        <w:i/>
        <w:iCs/>
        <w:color w:val="7F7F7F" w:themeColor="text1" w:themeTint="80"/>
        <w:sz w:val="18"/>
        <w:szCs w:val="20"/>
      </w:rPr>
      <w:t xml:space="preserve"> </w:t>
    </w:r>
    <w:r w:rsidR="00DA0ABA" w:rsidRPr="00826554">
      <w:rPr>
        <w:i/>
        <w:iCs/>
        <w:color w:val="7F7F7F" w:themeColor="text1" w:themeTint="80"/>
        <w:sz w:val="18"/>
        <w:szCs w:val="20"/>
      </w:rPr>
      <w:t>20</w:t>
    </w:r>
    <w:r w:rsidR="00DA0ABA">
      <w:rPr>
        <w:i/>
        <w:iCs/>
        <w:color w:val="7F7F7F" w:themeColor="text1" w:themeTint="80"/>
        <w:sz w:val="18"/>
        <w:szCs w:val="20"/>
      </w:rPr>
      <w:t>2</w:t>
    </w:r>
    <w:r>
      <w:rPr>
        <w:i/>
        <w:iCs/>
        <w:color w:val="7F7F7F" w:themeColor="text1" w:themeTint="80"/>
        <w:sz w:val="18"/>
        <w:szCs w:val="20"/>
      </w:rPr>
      <w:t>2</w:t>
    </w:r>
    <w:r w:rsidR="00DA0ABA" w:rsidRPr="00826554">
      <w:rPr>
        <w:i/>
        <w:iCs/>
        <w:color w:val="7F7F7F" w:themeColor="text1" w:themeTint="80"/>
        <w:sz w:val="18"/>
        <w:szCs w:val="20"/>
      </w:rPr>
      <w:t>– V.3.</w:t>
    </w:r>
    <w:r>
      <w:rPr>
        <w:i/>
        <w:iCs/>
        <w:color w:val="7F7F7F" w:themeColor="text1" w:themeTint="80"/>
        <w:sz w:val="18"/>
        <w:szCs w:val="20"/>
      </w:rPr>
      <w:t>6</w:t>
    </w:r>
  </w:p>
  <w:p w14:paraId="07677EDA" w14:textId="77777777" w:rsidR="00DA0ABA" w:rsidRDefault="00000000" w:rsidP="00A4600D">
    <w:pPr>
      <w:pStyle w:val="Header"/>
      <w:tabs>
        <w:tab w:val="clear" w:pos="9072"/>
        <w:tab w:val="right" w:pos="10348"/>
      </w:tabs>
      <w:spacing w:after="0"/>
    </w:pPr>
    <w:r>
      <w:rPr>
        <w:noProof/>
      </w:rPr>
      <w:pict w14:anchorId="4445D2B2">
        <v:rect id="_x0000_i1025" alt="" style="width:468pt;height:.05pt;mso-width-percent:0;mso-height-percent:0;mso-width-percent:0;mso-height-percent: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FE82" w14:textId="77777777" w:rsidR="00DA0ABA" w:rsidRDefault="00DA0ABA" w:rsidP="0048706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FC0"/>
    <w:multiLevelType w:val="hybridMultilevel"/>
    <w:tmpl w:val="7774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413AE"/>
    <w:multiLevelType w:val="hybridMultilevel"/>
    <w:tmpl w:val="E8FA7A1C"/>
    <w:lvl w:ilvl="0" w:tplc="F62EC552">
      <w:start w:val="1"/>
      <w:numFmt w:val="decimal"/>
      <w:pStyle w:val="Appendix"/>
      <w:lvlText w:val="Appendix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F24016"/>
    <w:multiLevelType w:val="hybridMultilevel"/>
    <w:tmpl w:val="7B6E96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056777"/>
    <w:multiLevelType w:val="hybridMultilevel"/>
    <w:tmpl w:val="2B24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A5355"/>
    <w:multiLevelType w:val="hybridMultilevel"/>
    <w:tmpl w:val="4EDA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B61F3"/>
    <w:multiLevelType w:val="hybridMultilevel"/>
    <w:tmpl w:val="6F14B8C4"/>
    <w:lvl w:ilvl="0" w:tplc="9126C8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4B3B2E"/>
    <w:multiLevelType w:val="hybridMultilevel"/>
    <w:tmpl w:val="04AE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83E4A"/>
    <w:multiLevelType w:val="hybridMultilevel"/>
    <w:tmpl w:val="AAC4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522DA"/>
    <w:multiLevelType w:val="hybridMultilevel"/>
    <w:tmpl w:val="8942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C5473"/>
    <w:multiLevelType w:val="hybridMultilevel"/>
    <w:tmpl w:val="F7E4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A4294"/>
    <w:multiLevelType w:val="hybridMultilevel"/>
    <w:tmpl w:val="EADED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9C19E6"/>
    <w:multiLevelType w:val="hybridMultilevel"/>
    <w:tmpl w:val="6D32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C7FC6"/>
    <w:multiLevelType w:val="hybridMultilevel"/>
    <w:tmpl w:val="44FC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C831E6"/>
    <w:multiLevelType w:val="multilevel"/>
    <w:tmpl w:val="058ADD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CB36DEC"/>
    <w:multiLevelType w:val="hybridMultilevel"/>
    <w:tmpl w:val="84148220"/>
    <w:lvl w:ilvl="0" w:tplc="040C000F">
      <w:start w:val="1"/>
      <w:numFmt w:val="bullet"/>
      <w:lvlText w:val=""/>
      <w:lvlJc w:val="left"/>
      <w:pPr>
        <w:ind w:left="720" w:hanging="360"/>
      </w:pPr>
      <w:rPr>
        <w:rFonts w:ascii="Symbol" w:hAnsi="Symbol"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5" w15:restartNumberingAfterBreak="0">
    <w:nsid w:val="43EC05DA"/>
    <w:multiLevelType w:val="hybridMultilevel"/>
    <w:tmpl w:val="5900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92567"/>
    <w:multiLevelType w:val="hybridMultilevel"/>
    <w:tmpl w:val="1FC6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97A4D"/>
    <w:multiLevelType w:val="hybridMultilevel"/>
    <w:tmpl w:val="5C8A9D80"/>
    <w:lvl w:ilvl="0" w:tplc="389C247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F76AA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4971"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56942553"/>
    <w:multiLevelType w:val="hybridMultilevel"/>
    <w:tmpl w:val="21E6F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8562B19"/>
    <w:multiLevelType w:val="hybridMultilevel"/>
    <w:tmpl w:val="1E6A3760"/>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DB3EB7"/>
    <w:multiLevelType w:val="hybridMultilevel"/>
    <w:tmpl w:val="7906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67112A"/>
    <w:multiLevelType w:val="hybridMultilevel"/>
    <w:tmpl w:val="56EC2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AC00EB5"/>
    <w:multiLevelType w:val="hybridMultilevel"/>
    <w:tmpl w:val="E49A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460F6F"/>
    <w:multiLevelType w:val="hybridMultilevel"/>
    <w:tmpl w:val="6E448C96"/>
    <w:lvl w:ilvl="0" w:tplc="632C0DEA">
      <w:start w:val="1"/>
      <w:numFmt w:val="bullet"/>
      <w:lvlText w:val=""/>
      <w:lvlJc w:val="left"/>
      <w:pPr>
        <w:tabs>
          <w:tab w:val="num" w:pos="720"/>
        </w:tabs>
        <w:ind w:left="720" w:hanging="360"/>
      </w:pPr>
      <w:rPr>
        <w:rFonts w:ascii="Symbol" w:hAnsi="Symbol"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1070"/>
        </w:tabs>
        <w:ind w:left="1070" w:hanging="360"/>
      </w:pPr>
      <w:rPr>
        <w:rFonts w:ascii="Symbol" w:hAnsi="Symbol" w:hint="default"/>
      </w:rPr>
    </w:lvl>
    <w:lvl w:ilvl="3" w:tplc="040C0001">
      <w:start w:val="3"/>
      <w:numFmt w:val="bullet"/>
      <w:lvlText w:val="•"/>
      <w:lvlJc w:val="left"/>
      <w:pPr>
        <w:ind w:left="2880" w:hanging="360"/>
      </w:pPr>
      <w:rPr>
        <w:rFonts w:ascii="Arial" w:eastAsia="Times New Roman" w:hAnsi="Arial" w:cs="Arial" w:hint="default"/>
      </w:r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5" w15:restartNumberingAfterBreak="0">
    <w:nsid w:val="73B77DC7"/>
    <w:multiLevelType w:val="hybridMultilevel"/>
    <w:tmpl w:val="0DB0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896322"/>
    <w:multiLevelType w:val="hybridMultilevel"/>
    <w:tmpl w:val="C1AC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131371"/>
    <w:multiLevelType w:val="hybridMultilevel"/>
    <w:tmpl w:val="2BB29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72564F"/>
    <w:multiLevelType w:val="hybridMultilevel"/>
    <w:tmpl w:val="C4A22376"/>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B442C"/>
    <w:multiLevelType w:val="hybridMultilevel"/>
    <w:tmpl w:val="2DDA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3947073">
    <w:abstractNumId w:val="27"/>
  </w:num>
  <w:num w:numId="2" w16cid:durableId="1363898991">
    <w:abstractNumId w:val="14"/>
  </w:num>
  <w:num w:numId="3" w16cid:durableId="231551843">
    <w:abstractNumId w:val="24"/>
  </w:num>
  <w:num w:numId="4" w16cid:durableId="1692029577">
    <w:abstractNumId w:val="5"/>
  </w:num>
  <w:num w:numId="5" w16cid:durableId="956109310">
    <w:abstractNumId w:val="17"/>
  </w:num>
  <w:num w:numId="6" w16cid:durableId="513805188">
    <w:abstractNumId w:val="1"/>
  </w:num>
  <w:num w:numId="7" w16cid:durableId="1259102454">
    <w:abstractNumId w:val="2"/>
  </w:num>
  <w:num w:numId="8" w16cid:durableId="2142797746">
    <w:abstractNumId w:val="10"/>
  </w:num>
  <w:num w:numId="9" w16cid:durableId="471212183">
    <w:abstractNumId w:val="8"/>
  </w:num>
  <w:num w:numId="10" w16cid:durableId="429663179">
    <w:abstractNumId w:val="12"/>
  </w:num>
  <w:num w:numId="11" w16cid:durableId="455638981">
    <w:abstractNumId w:val="0"/>
  </w:num>
  <w:num w:numId="12" w16cid:durableId="780229094">
    <w:abstractNumId w:val="25"/>
  </w:num>
  <w:num w:numId="13" w16cid:durableId="464205902">
    <w:abstractNumId w:val="6"/>
  </w:num>
  <w:num w:numId="14" w16cid:durableId="1740249639">
    <w:abstractNumId w:val="29"/>
  </w:num>
  <w:num w:numId="15" w16cid:durableId="1170755882">
    <w:abstractNumId w:val="19"/>
  </w:num>
  <w:num w:numId="16" w16cid:durableId="1469738817">
    <w:abstractNumId w:val="16"/>
  </w:num>
  <w:num w:numId="17" w16cid:durableId="963266642">
    <w:abstractNumId w:val="26"/>
  </w:num>
  <w:num w:numId="18" w16cid:durableId="1541473225">
    <w:abstractNumId w:val="18"/>
  </w:num>
  <w:num w:numId="19" w16cid:durableId="1038436440">
    <w:abstractNumId w:val="4"/>
  </w:num>
  <w:num w:numId="20" w16cid:durableId="1338657885">
    <w:abstractNumId w:val="3"/>
  </w:num>
  <w:num w:numId="21" w16cid:durableId="2058315647">
    <w:abstractNumId w:val="21"/>
  </w:num>
  <w:num w:numId="22" w16cid:durableId="1743982715">
    <w:abstractNumId w:val="7"/>
  </w:num>
  <w:num w:numId="23" w16cid:durableId="258368174">
    <w:abstractNumId w:val="15"/>
  </w:num>
  <w:num w:numId="24" w16cid:durableId="1354264452">
    <w:abstractNumId w:val="11"/>
  </w:num>
  <w:num w:numId="25" w16cid:durableId="762458579">
    <w:abstractNumId w:val="23"/>
  </w:num>
  <w:num w:numId="26" w16cid:durableId="1123576649">
    <w:abstractNumId w:val="13"/>
  </w:num>
  <w:num w:numId="27" w16cid:durableId="1856085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050805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01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720774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44128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80848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512317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761339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89743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88213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26262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234897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18729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1458724">
    <w:abstractNumId w:val="9"/>
  </w:num>
  <w:num w:numId="41" w16cid:durableId="1385955442">
    <w:abstractNumId w:val="22"/>
  </w:num>
  <w:num w:numId="42" w16cid:durableId="467628124">
    <w:abstractNumId w:val="20"/>
  </w:num>
  <w:num w:numId="43" w16cid:durableId="1437672456">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it-IT" w:vendorID="64" w:dllVersion="6" w:nlCheck="1" w:checkStyle="0"/>
  <w:activeWritingStyle w:appName="MSWord" w:lang="en-ZA"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ZA" w:vendorID="64" w:dllVersion="0" w:nlCheck="1" w:checkStyle="0"/>
  <w:activeWritingStyle w:appName="MSWord" w:lang="de-A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ZA"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DEF"/>
    <w:rsid w:val="00000C0E"/>
    <w:rsid w:val="000010BA"/>
    <w:rsid w:val="0000309C"/>
    <w:rsid w:val="0001041A"/>
    <w:rsid w:val="0001163C"/>
    <w:rsid w:val="00011945"/>
    <w:rsid w:val="00012BB5"/>
    <w:rsid w:val="0001558A"/>
    <w:rsid w:val="000164FB"/>
    <w:rsid w:val="000168EB"/>
    <w:rsid w:val="00017CBB"/>
    <w:rsid w:val="00022147"/>
    <w:rsid w:val="00022444"/>
    <w:rsid w:val="00024884"/>
    <w:rsid w:val="0002622F"/>
    <w:rsid w:val="00027C14"/>
    <w:rsid w:val="0003043B"/>
    <w:rsid w:val="00030590"/>
    <w:rsid w:val="000315EF"/>
    <w:rsid w:val="00032D00"/>
    <w:rsid w:val="00032F79"/>
    <w:rsid w:val="00034FEE"/>
    <w:rsid w:val="000351AE"/>
    <w:rsid w:val="00036478"/>
    <w:rsid w:val="00043335"/>
    <w:rsid w:val="00047FA7"/>
    <w:rsid w:val="000505A9"/>
    <w:rsid w:val="0005253E"/>
    <w:rsid w:val="00053EF9"/>
    <w:rsid w:val="00055B1A"/>
    <w:rsid w:val="0005787B"/>
    <w:rsid w:val="000602AA"/>
    <w:rsid w:val="00060430"/>
    <w:rsid w:val="000614BA"/>
    <w:rsid w:val="00062B85"/>
    <w:rsid w:val="00063B97"/>
    <w:rsid w:val="000640ED"/>
    <w:rsid w:val="00064286"/>
    <w:rsid w:val="000650C6"/>
    <w:rsid w:val="000654EB"/>
    <w:rsid w:val="00065C2F"/>
    <w:rsid w:val="00065C8A"/>
    <w:rsid w:val="00065E2A"/>
    <w:rsid w:val="00067D9F"/>
    <w:rsid w:val="00067F5B"/>
    <w:rsid w:val="00067FC5"/>
    <w:rsid w:val="000710C5"/>
    <w:rsid w:val="00072E28"/>
    <w:rsid w:val="00074161"/>
    <w:rsid w:val="00074509"/>
    <w:rsid w:val="0007586D"/>
    <w:rsid w:val="00076471"/>
    <w:rsid w:val="0007723B"/>
    <w:rsid w:val="000776CF"/>
    <w:rsid w:val="00080D96"/>
    <w:rsid w:val="00082C06"/>
    <w:rsid w:val="00082CF2"/>
    <w:rsid w:val="00082CF4"/>
    <w:rsid w:val="00084DF3"/>
    <w:rsid w:val="00087110"/>
    <w:rsid w:val="00091763"/>
    <w:rsid w:val="00092D01"/>
    <w:rsid w:val="00097743"/>
    <w:rsid w:val="000978B7"/>
    <w:rsid w:val="000A30A9"/>
    <w:rsid w:val="000A3B08"/>
    <w:rsid w:val="000A6418"/>
    <w:rsid w:val="000A65B6"/>
    <w:rsid w:val="000B0338"/>
    <w:rsid w:val="000B088D"/>
    <w:rsid w:val="000B0B41"/>
    <w:rsid w:val="000B1753"/>
    <w:rsid w:val="000B1939"/>
    <w:rsid w:val="000B2683"/>
    <w:rsid w:val="000B2A9E"/>
    <w:rsid w:val="000B41E2"/>
    <w:rsid w:val="000B696C"/>
    <w:rsid w:val="000B6C48"/>
    <w:rsid w:val="000C170C"/>
    <w:rsid w:val="000C43EE"/>
    <w:rsid w:val="000D1ED7"/>
    <w:rsid w:val="000D3580"/>
    <w:rsid w:val="000D361B"/>
    <w:rsid w:val="000D3901"/>
    <w:rsid w:val="000D3B00"/>
    <w:rsid w:val="000D53F7"/>
    <w:rsid w:val="000D6EE9"/>
    <w:rsid w:val="000D7914"/>
    <w:rsid w:val="000E07C0"/>
    <w:rsid w:val="000E19F5"/>
    <w:rsid w:val="000E25EC"/>
    <w:rsid w:val="000E2E89"/>
    <w:rsid w:val="000E3D7D"/>
    <w:rsid w:val="000E435F"/>
    <w:rsid w:val="000E637C"/>
    <w:rsid w:val="000E6DC0"/>
    <w:rsid w:val="000F1E71"/>
    <w:rsid w:val="000F4821"/>
    <w:rsid w:val="000F54A5"/>
    <w:rsid w:val="000F5EE0"/>
    <w:rsid w:val="000F61E3"/>
    <w:rsid w:val="000F63C4"/>
    <w:rsid w:val="00101A5A"/>
    <w:rsid w:val="00101AAE"/>
    <w:rsid w:val="00102BE4"/>
    <w:rsid w:val="0010400A"/>
    <w:rsid w:val="00104505"/>
    <w:rsid w:val="0010451C"/>
    <w:rsid w:val="00106D83"/>
    <w:rsid w:val="0011296A"/>
    <w:rsid w:val="00115D4A"/>
    <w:rsid w:val="00117A8D"/>
    <w:rsid w:val="00120F27"/>
    <w:rsid w:val="001212E1"/>
    <w:rsid w:val="001228B4"/>
    <w:rsid w:val="001239F2"/>
    <w:rsid w:val="00123B64"/>
    <w:rsid w:val="00125CBC"/>
    <w:rsid w:val="00125D75"/>
    <w:rsid w:val="00130444"/>
    <w:rsid w:val="00130A1A"/>
    <w:rsid w:val="00130BA1"/>
    <w:rsid w:val="001313F7"/>
    <w:rsid w:val="00131E80"/>
    <w:rsid w:val="001348BD"/>
    <w:rsid w:val="00136A95"/>
    <w:rsid w:val="001405F6"/>
    <w:rsid w:val="0014271C"/>
    <w:rsid w:val="001429C8"/>
    <w:rsid w:val="00144BB0"/>
    <w:rsid w:val="0014599E"/>
    <w:rsid w:val="00147357"/>
    <w:rsid w:val="0015003B"/>
    <w:rsid w:val="00150415"/>
    <w:rsid w:val="00150575"/>
    <w:rsid w:val="00150D23"/>
    <w:rsid w:val="00150FDF"/>
    <w:rsid w:val="0015173A"/>
    <w:rsid w:val="0015209D"/>
    <w:rsid w:val="00152F06"/>
    <w:rsid w:val="00153C0B"/>
    <w:rsid w:val="001558B0"/>
    <w:rsid w:val="00155DA6"/>
    <w:rsid w:val="001574BF"/>
    <w:rsid w:val="00160BB2"/>
    <w:rsid w:val="00164D55"/>
    <w:rsid w:val="00165395"/>
    <w:rsid w:val="00165D9E"/>
    <w:rsid w:val="0016607B"/>
    <w:rsid w:val="00167A52"/>
    <w:rsid w:val="00171966"/>
    <w:rsid w:val="00172F24"/>
    <w:rsid w:val="00174BA6"/>
    <w:rsid w:val="00175D16"/>
    <w:rsid w:val="001767DC"/>
    <w:rsid w:val="00177D5C"/>
    <w:rsid w:val="00177D8C"/>
    <w:rsid w:val="00185541"/>
    <w:rsid w:val="001856D5"/>
    <w:rsid w:val="00186DDB"/>
    <w:rsid w:val="0019046B"/>
    <w:rsid w:val="00192950"/>
    <w:rsid w:val="001954C4"/>
    <w:rsid w:val="00195CAE"/>
    <w:rsid w:val="001963E3"/>
    <w:rsid w:val="00197811"/>
    <w:rsid w:val="00197EB8"/>
    <w:rsid w:val="001A09D8"/>
    <w:rsid w:val="001A09EA"/>
    <w:rsid w:val="001A21D3"/>
    <w:rsid w:val="001A3C7B"/>
    <w:rsid w:val="001A58A3"/>
    <w:rsid w:val="001A6D2E"/>
    <w:rsid w:val="001A72A5"/>
    <w:rsid w:val="001A7366"/>
    <w:rsid w:val="001B1455"/>
    <w:rsid w:val="001B218D"/>
    <w:rsid w:val="001B2A8F"/>
    <w:rsid w:val="001B3891"/>
    <w:rsid w:val="001B48F0"/>
    <w:rsid w:val="001B5B1E"/>
    <w:rsid w:val="001B642A"/>
    <w:rsid w:val="001B7D8B"/>
    <w:rsid w:val="001C0860"/>
    <w:rsid w:val="001C2EC6"/>
    <w:rsid w:val="001C61D3"/>
    <w:rsid w:val="001C792D"/>
    <w:rsid w:val="001C79D1"/>
    <w:rsid w:val="001D1978"/>
    <w:rsid w:val="001D22B3"/>
    <w:rsid w:val="001D2B89"/>
    <w:rsid w:val="001D4E7F"/>
    <w:rsid w:val="001D5238"/>
    <w:rsid w:val="001D5895"/>
    <w:rsid w:val="001D7159"/>
    <w:rsid w:val="001E2346"/>
    <w:rsid w:val="001E2D15"/>
    <w:rsid w:val="001E4317"/>
    <w:rsid w:val="001E73DA"/>
    <w:rsid w:val="001F5AF9"/>
    <w:rsid w:val="001F77A5"/>
    <w:rsid w:val="002014BE"/>
    <w:rsid w:val="0020455B"/>
    <w:rsid w:val="00205B6D"/>
    <w:rsid w:val="0020719A"/>
    <w:rsid w:val="002075C7"/>
    <w:rsid w:val="0020785C"/>
    <w:rsid w:val="002100E9"/>
    <w:rsid w:val="002113F1"/>
    <w:rsid w:val="00211847"/>
    <w:rsid w:val="002133FC"/>
    <w:rsid w:val="0021511C"/>
    <w:rsid w:val="00216443"/>
    <w:rsid w:val="002248A6"/>
    <w:rsid w:val="00224D77"/>
    <w:rsid w:val="00225791"/>
    <w:rsid w:val="00226695"/>
    <w:rsid w:val="002269A6"/>
    <w:rsid w:val="002269A9"/>
    <w:rsid w:val="002338B6"/>
    <w:rsid w:val="00235309"/>
    <w:rsid w:val="002374FC"/>
    <w:rsid w:val="002375BF"/>
    <w:rsid w:val="002417CD"/>
    <w:rsid w:val="00242808"/>
    <w:rsid w:val="00247A19"/>
    <w:rsid w:val="00250CEF"/>
    <w:rsid w:val="00251BB4"/>
    <w:rsid w:val="00254685"/>
    <w:rsid w:val="00254A88"/>
    <w:rsid w:val="00254D1A"/>
    <w:rsid w:val="00261B7F"/>
    <w:rsid w:val="00261E71"/>
    <w:rsid w:val="002620A0"/>
    <w:rsid w:val="00262835"/>
    <w:rsid w:val="002659CE"/>
    <w:rsid w:val="00265C79"/>
    <w:rsid w:val="00270368"/>
    <w:rsid w:val="002706CE"/>
    <w:rsid w:val="00272D6D"/>
    <w:rsid w:val="002738DB"/>
    <w:rsid w:val="002747FC"/>
    <w:rsid w:val="00275707"/>
    <w:rsid w:val="002762B9"/>
    <w:rsid w:val="0027760D"/>
    <w:rsid w:val="0028280B"/>
    <w:rsid w:val="002828AE"/>
    <w:rsid w:val="002832DF"/>
    <w:rsid w:val="00283577"/>
    <w:rsid w:val="002848A3"/>
    <w:rsid w:val="00284989"/>
    <w:rsid w:val="00284C0C"/>
    <w:rsid w:val="002864FD"/>
    <w:rsid w:val="0029202F"/>
    <w:rsid w:val="002934BE"/>
    <w:rsid w:val="00294E7A"/>
    <w:rsid w:val="00294EB1"/>
    <w:rsid w:val="0029589C"/>
    <w:rsid w:val="0029782D"/>
    <w:rsid w:val="00297C43"/>
    <w:rsid w:val="00297E03"/>
    <w:rsid w:val="002A3CA8"/>
    <w:rsid w:val="002B0C60"/>
    <w:rsid w:val="002B0F0A"/>
    <w:rsid w:val="002B37C1"/>
    <w:rsid w:val="002B46D0"/>
    <w:rsid w:val="002B6EB1"/>
    <w:rsid w:val="002C004A"/>
    <w:rsid w:val="002C53A0"/>
    <w:rsid w:val="002C5D7E"/>
    <w:rsid w:val="002C5E9F"/>
    <w:rsid w:val="002C7363"/>
    <w:rsid w:val="002D3C85"/>
    <w:rsid w:val="002D58C5"/>
    <w:rsid w:val="002D7EC8"/>
    <w:rsid w:val="002E1220"/>
    <w:rsid w:val="002E57C8"/>
    <w:rsid w:val="002F0614"/>
    <w:rsid w:val="002F3810"/>
    <w:rsid w:val="002F4E9E"/>
    <w:rsid w:val="002F4EC5"/>
    <w:rsid w:val="002F520C"/>
    <w:rsid w:val="00302594"/>
    <w:rsid w:val="00304FE5"/>
    <w:rsid w:val="00305BFC"/>
    <w:rsid w:val="00305F3C"/>
    <w:rsid w:val="003105AC"/>
    <w:rsid w:val="00310CB6"/>
    <w:rsid w:val="00310E18"/>
    <w:rsid w:val="00312BB3"/>
    <w:rsid w:val="00314029"/>
    <w:rsid w:val="00316307"/>
    <w:rsid w:val="003205A7"/>
    <w:rsid w:val="003227FA"/>
    <w:rsid w:val="00324972"/>
    <w:rsid w:val="00325351"/>
    <w:rsid w:val="0032593E"/>
    <w:rsid w:val="00330D2A"/>
    <w:rsid w:val="00331485"/>
    <w:rsid w:val="00332FD5"/>
    <w:rsid w:val="00333CE0"/>
    <w:rsid w:val="00333FFC"/>
    <w:rsid w:val="0033435D"/>
    <w:rsid w:val="00336556"/>
    <w:rsid w:val="00336DCF"/>
    <w:rsid w:val="00336DEC"/>
    <w:rsid w:val="0033766D"/>
    <w:rsid w:val="00337827"/>
    <w:rsid w:val="0034036E"/>
    <w:rsid w:val="0034162D"/>
    <w:rsid w:val="00342DFA"/>
    <w:rsid w:val="003452D0"/>
    <w:rsid w:val="0034705D"/>
    <w:rsid w:val="00347F4F"/>
    <w:rsid w:val="003513D3"/>
    <w:rsid w:val="00351EDB"/>
    <w:rsid w:val="00352248"/>
    <w:rsid w:val="003538A3"/>
    <w:rsid w:val="003544A7"/>
    <w:rsid w:val="0035559C"/>
    <w:rsid w:val="00356DF1"/>
    <w:rsid w:val="00363DE8"/>
    <w:rsid w:val="00366D4B"/>
    <w:rsid w:val="0036767A"/>
    <w:rsid w:val="00367FAC"/>
    <w:rsid w:val="00371045"/>
    <w:rsid w:val="00371CF7"/>
    <w:rsid w:val="0037260F"/>
    <w:rsid w:val="00372782"/>
    <w:rsid w:val="0037511E"/>
    <w:rsid w:val="00375E86"/>
    <w:rsid w:val="00384B5B"/>
    <w:rsid w:val="0038627F"/>
    <w:rsid w:val="00394DBD"/>
    <w:rsid w:val="00394EB2"/>
    <w:rsid w:val="00395549"/>
    <w:rsid w:val="003975F1"/>
    <w:rsid w:val="003A1B0D"/>
    <w:rsid w:val="003A2585"/>
    <w:rsid w:val="003A3F52"/>
    <w:rsid w:val="003A5067"/>
    <w:rsid w:val="003A6D0A"/>
    <w:rsid w:val="003B4F95"/>
    <w:rsid w:val="003B4FE4"/>
    <w:rsid w:val="003B5437"/>
    <w:rsid w:val="003C2CA6"/>
    <w:rsid w:val="003C3544"/>
    <w:rsid w:val="003C4FD7"/>
    <w:rsid w:val="003C5030"/>
    <w:rsid w:val="003C78F0"/>
    <w:rsid w:val="003D1259"/>
    <w:rsid w:val="003D1CE4"/>
    <w:rsid w:val="003D2A05"/>
    <w:rsid w:val="003D2E9D"/>
    <w:rsid w:val="003D31C9"/>
    <w:rsid w:val="003D3D18"/>
    <w:rsid w:val="003D6612"/>
    <w:rsid w:val="003D6D2C"/>
    <w:rsid w:val="003E0E07"/>
    <w:rsid w:val="003E111D"/>
    <w:rsid w:val="003E2A1C"/>
    <w:rsid w:val="003E36B4"/>
    <w:rsid w:val="003E481A"/>
    <w:rsid w:val="003E4BF9"/>
    <w:rsid w:val="003E570F"/>
    <w:rsid w:val="003E661F"/>
    <w:rsid w:val="003E6ADA"/>
    <w:rsid w:val="003F097C"/>
    <w:rsid w:val="003F25AA"/>
    <w:rsid w:val="003F31E9"/>
    <w:rsid w:val="003F3BD4"/>
    <w:rsid w:val="003F434F"/>
    <w:rsid w:val="003F60EE"/>
    <w:rsid w:val="003F7D36"/>
    <w:rsid w:val="003F7F19"/>
    <w:rsid w:val="004004F2"/>
    <w:rsid w:val="00402848"/>
    <w:rsid w:val="00406319"/>
    <w:rsid w:val="00407726"/>
    <w:rsid w:val="00412460"/>
    <w:rsid w:val="00414141"/>
    <w:rsid w:val="00417DAD"/>
    <w:rsid w:val="00422374"/>
    <w:rsid w:val="00423723"/>
    <w:rsid w:val="0042502E"/>
    <w:rsid w:val="004268CF"/>
    <w:rsid w:val="00426DC8"/>
    <w:rsid w:val="00426F1B"/>
    <w:rsid w:val="0042751A"/>
    <w:rsid w:val="00432A05"/>
    <w:rsid w:val="00435674"/>
    <w:rsid w:val="004371E7"/>
    <w:rsid w:val="004400CE"/>
    <w:rsid w:val="0044227B"/>
    <w:rsid w:val="004427EA"/>
    <w:rsid w:val="0044416F"/>
    <w:rsid w:val="004448F6"/>
    <w:rsid w:val="004452AE"/>
    <w:rsid w:val="004470A4"/>
    <w:rsid w:val="00450F2A"/>
    <w:rsid w:val="004511BA"/>
    <w:rsid w:val="00454BD7"/>
    <w:rsid w:val="0045535F"/>
    <w:rsid w:val="00456464"/>
    <w:rsid w:val="00457E72"/>
    <w:rsid w:val="00460436"/>
    <w:rsid w:val="0046354B"/>
    <w:rsid w:val="00463E1E"/>
    <w:rsid w:val="00463E44"/>
    <w:rsid w:val="00463E59"/>
    <w:rsid w:val="004653C1"/>
    <w:rsid w:val="00467F17"/>
    <w:rsid w:val="004725EF"/>
    <w:rsid w:val="00472C42"/>
    <w:rsid w:val="0047417A"/>
    <w:rsid w:val="004768F5"/>
    <w:rsid w:val="00480950"/>
    <w:rsid w:val="00480FF8"/>
    <w:rsid w:val="00481C18"/>
    <w:rsid w:val="004849CA"/>
    <w:rsid w:val="00487060"/>
    <w:rsid w:val="004904FD"/>
    <w:rsid w:val="00492521"/>
    <w:rsid w:val="004954A9"/>
    <w:rsid w:val="00496B42"/>
    <w:rsid w:val="004A38E9"/>
    <w:rsid w:val="004A3A05"/>
    <w:rsid w:val="004A3C2A"/>
    <w:rsid w:val="004A7402"/>
    <w:rsid w:val="004B10E6"/>
    <w:rsid w:val="004B3074"/>
    <w:rsid w:val="004B426C"/>
    <w:rsid w:val="004B43A0"/>
    <w:rsid w:val="004B4F8D"/>
    <w:rsid w:val="004B7C43"/>
    <w:rsid w:val="004C0EC5"/>
    <w:rsid w:val="004C1F87"/>
    <w:rsid w:val="004C20E0"/>
    <w:rsid w:val="004C22A2"/>
    <w:rsid w:val="004C378C"/>
    <w:rsid w:val="004C3C84"/>
    <w:rsid w:val="004C667F"/>
    <w:rsid w:val="004C6F14"/>
    <w:rsid w:val="004D010B"/>
    <w:rsid w:val="004D08F9"/>
    <w:rsid w:val="004D1009"/>
    <w:rsid w:val="004D1A44"/>
    <w:rsid w:val="004D2D64"/>
    <w:rsid w:val="004D33AE"/>
    <w:rsid w:val="004D56CE"/>
    <w:rsid w:val="004D6190"/>
    <w:rsid w:val="004D7851"/>
    <w:rsid w:val="004E09E2"/>
    <w:rsid w:val="004F0FA4"/>
    <w:rsid w:val="004F3C19"/>
    <w:rsid w:val="005001F5"/>
    <w:rsid w:val="00502EFC"/>
    <w:rsid w:val="00503995"/>
    <w:rsid w:val="00505FEC"/>
    <w:rsid w:val="0050684F"/>
    <w:rsid w:val="00506ACD"/>
    <w:rsid w:val="0051066F"/>
    <w:rsid w:val="005116AB"/>
    <w:rsid w:val="00513210"/>
    <w:rsid w:val="00514114"/>
    <w:rsid w:val="005146F0"/>
    <w:rsid w:val="005204AF"/>
    <w:rsid w:val="005209A3"/>
    <w:rsid w:val="00521F7E"/>
    <w:rsid w:val="00524E5D"/>
    <w:rsid w:val="00525BF9"/>
    <w:rsid w:val="00526FEA"/>
    <w:rsid w:val="00527071"/>
    <w:rsid w:val="00530AC4"/>
    <w:rsid w:val="00534A3F"/>
    <w:rsid w:val="005350EB"/>
    <w:rsid w:val="005403E4"/>
    <w:rsid w:val="0054407E"/>
    <w:rsid w:val="005466AA"/>
    <w:rsid w:val="005505F9"/>
    <w:rsid w:val="005537DE"/>
    <w:rsid w:val="00553FCF"/>
    <w:rsid w:val="00554A2C"/>
    <w:rsid w:val="0055683F"/>
    <w:rsid w:val="0056056B"/>
    <w:rsid w:val="00560D14"/>
    <w:rsid w:val="00562D8A"/>
    <w:rsid w:val="005648CC"/>
    <w:rsid w:val="00565A46"/>
    <w:rsid w:val="00567562"/>
    <w:rsid w:val="0056795E"/>
    <w:rsid w:val="00570A7F"/>
    <w:rsid w:val="00571E9C"/>
    <w:rsid w:val="00571EBC"/>
    <w:rsid w:val="00574225"/>
    <w:rsid w:val="0057738C"/>
    <w:rsid w:val="005777CC"/>
    <w:rsid w:val="00580411"/>
    <w:rsid w:val="00580931"/>
    <w:rsid w:val="00580BD1"/>
    <w:rsid w:val="00580C84"/>
    <w:rsid w:val="00580E7D"/>
    <w:rsid w:val="00581355"/>
    <w:rsid w:val="00585006"/>
    <w:rsid w:val="00590D8C"/>
    <w:rsid w:val="00592919"/>
    <w:rsid w:val="00592D16"/>
    <w:rsid w:val="005945EE"/>
    <w:rsid w:val="0059479F"/>
    <w:rsid w:val="00594AB8"/>
    <w:rsid w:val="005957C0"/>
    <w:rsid w:val="005A0963"/>
    <w:rsid w:val="005A4824"/>
    <w:rsid w:val="005B316E"/>
    <w:rsid w:val="005B36C8"/>
    <w:rsid w:val="005B42AC"/>
    <w:rsid w:val="005B5BEC"/>
    <w:rsid w:val="005C2C3D"/>
    <w:rsid w:val="005C52A1"/>
    <w:rsid w:val="005C77BD"/>
    <w:rsid w:val="005C794C"/>
    <w:rsid w:val="005D2160"/>
    <w:rsid w:val="005D27BA"/>
    <w:rsid w:val="005D4962"/>
    <w:rsid w:val="005D6063"/>
    <w:rsid w:val="005E4796"/>
    <w:rsid w:val="005E7475"/>
    <w:rsid w:val="005F19BE"/>
    <w:rsid w:val="005F4375"/>
    <w:rsid w:val="005F649C"/>
    <w:rsid w:val="005F6E40"/>
    <w:rsid w:val="005F733A"/>
    <w:rsid w:val="005F7C9A"/>
    <w:rsid w:val="0060173C"/>
    <w:rsid w:val="00602FA1"/>
    <w:rsid w:val="00603EA1"/>
    <w:rsid w:val="00606CC0"/>
    <w:rsid w:val="00607946"/>
    <w:rsid w:val="00610AC8"/>
    <w:rsid w:val="00610AED"/>
    <w:rsid w:val="00613660"/>
    <w:rsid w:val="00614DAF"/>
    <w:rsid w:val="006151A7"/>
    <w:rsid w:val="00616CE0"/>
    <w:rsid w:val="00616F19"/>
    <w:rsid w:val="006249AF"/>
    <w:rsid w:val="00625AAE"/>
    <w:rsid w:val="00626F58"/>
    <w:rsid w:val="00627E97"/>
    <w:rsid w:val="00630852"/>
    <w:rsid w:val="0063200A"/>
    <w:rsid w:val="00633A6C"/>
    <w:rsid w:val="00635A7A"/>
    <w:rsid w:val="00637B9E"/>
    <w:rsid w:val="00641831"/>
    <w:rsid w:val="00641CFD"/>
    <w:rsid w:val="00644A15"/>
    <w:rsid w:val="006453EC"/>
    <w:rsid w:val="00647B5F"/>
    <w:rsid w:val="00651A0D"/>
    <w:rsid w:val="00651F13"/>
    <w:rsid w:val="006552DC"/>
    <w:rsid w:val="00660AE5"/>
    <w:rsid w:val="00661EC8"/>
    <w:rsid w:val="00664CDE"/>
    <w:rsid w:val="00665634"/>
    <w:rsid w:val="00665E8F"/>
    <w:rsid w:val="006701F9"/>
    <w:rsid w:val="00671434"/>
    <w:rsid w:val="00672D7F"/>
    <w:rsid w:val="00675FD3"/>
    <w:rsid w:val="00676E71"/>
    <w:rsid w:val="006806B4"/>
    <w:rsid w:val="00684189"/>
    <w:rsid w:val="006849A4"/>
    <w:rsid w:val="00685BF1"/>
    <w:rsid w:val="00693A24"/>
    <w:rsid w:val="00694C81"/>
    <w:rsid w:val="0069541F"/>
    <w:rsid w:val="00696746"/>
    <w:rsid w:val="006A0EDF"/>
    <w:rsid w:val="006A561C"/>
    <w:rsid w:val="006A7933"/>
    <w:rsid w:val="006A7DE4"/>
    <w:rsid w:val="006B142C"/>
    <w:rsid w:val="006B1C5C"/>
    <w:rsid w:val="006B27CA"/>
    <w:rsid w:val="006B78F0"/>
    <w:rsid w:val="006C4582"/>
    <w:rsid w:val="006C4A33"/>
    <w:rsid w:val="006C7C2A"/>
    <w:rsid w:val="006D0166"/>
    <w:rsid w:val="006D1CF2"/>
    <w:rsid w:val="006D1D35"/>
    <w:rsid w:val="006D1E33"/>
    <w:rsid w:val="006D3654"/>
    <w:rsid w:val="006D3AE4"/>
    <w:rsid w:val="006D4987"/>
    <w:rsid w:val="006D54EB"/>
    <w:rsid w:val="006D5608"/>
    <w:rsid w:val="006D5C83"/>
    <w:rsid w:val="006E270B"/>
    <w:rsid w:val="006E28CC"/>
    <w:rsid w:val="006E298C"/>
    <w:rsid w:val="006E4464"/>
    <w:rsid w:val="006E4791"/>
    <w:rsid w:val="006E636F"/>
    <w:rsid w:val="006E773F"/>
    <w:rsid w:val="006F0D2C"/>
    <w:rsid w:val="006F1C5C"/>
    <w:rsid w:val="006F4914"/>
    <w:rsid w:val="006F5E93"/>
    <w:rsid w:val="007012D9"/>
    <w:rsid w:val="00703440"/>
    <w:rsid w:val="00703C17"/>
    <w:rsid w:val="0070428B"/>
    <w:rsid w:val="00705340"/>
    <w:rsid w:val="00706B9D"/>
    <w:rsid w:val="00707047"/>
    <w:rsid w:val="007074E5"/>
    <w:rsid w:val="0070758F"/>
    <w:rsid w:val="00710369"/>
    <w:rsid w:val="00710772"/>
    <w:rsid w:val="0071104D"/>
    <w:rsid w:val="00712AEB"/>
    <w:rsid w:val="00715A92"/>
    <w:rsid w:val="007208C7"/>
    <w:rsid w:val="00720F5F"/>
    <w:rsid w:val="00724F10"/>
    <w:rsid w:val="00725023"/>
    <w:rsid w:val="00725497"/>
    <w:rsid w:val="00725CEF"/>
    <w:rsid w:val="00733041"/>
    <w:rsid w:val="007338B9"/>
    <w:rsid w:val="007340C3"/>
    <w:rsid w:val="00737220"/>
    <w:rsid w:val="00740392"/>
    <w:rsid w:val="00740AAF"/>
    <w:rsid w:val="00743ED8"/>
    <w:rsid w:val="0074443D"/>
    <w:rsid w:val="0075272C"/>
    <w:rsid w:val="00752809"/>
    <w:rsid w:val="00754368"/>
    <w:rsid w:val="007556D9"/>
    <w:rsid w:val="00756385"/>
    <w:rsid w:val="0075638A"/>
    <w:rsid w:val="007563E5"/>
    <w:rsid w:val="007578F1"/>
    <w:rsid w:val="00764027"/>
    <w:rsid w:val="0076508F"/>
    <w:rsid w:val="007673AB"/>
    <w:rsid w:val="00767638"/>
    <w:rsid w:val="007677C1"/>
    <w:rsid w:val="007706F0"/>
    <w:rsid w:val="00771202"/>
    <w:rsid w:val="007728B0"/>
    <w:rsid w:val="00775583"/>
    <w:rsid w:val="00776BC2"/>
    <w:rsid w:val="00777A48"/>
    <w:rsid w:val="00781F42"/>
    <w:rsid w:val="00782B8E"/>
    <w:rsid w:val="00782BA0"/>
    <w:rsid w:val="007839C8"/>
    <w:rsid w:val="0078774E"/>
    <w:rsid w:val="00787BFC"/>
    <w:rsid w:val="00791FC4"/>
    <w:rsid w:val="0079521D"/>
    <w:rsid w:val="00795522"/>
    <w:rsid w:val="00797CCD"/>
    <w:rsid w:val="007A1BF7"/>
    <w:rsid w:val="007A2ABA"/>
    <w:rsid w:val="007A3BCB"/>
    <w:rsid w:val="007A3F36"/>
    <w:rsid w:val="007A5AFD"/>
    <w:rsid w:val="007A60C7"/>
    <w:rsid w:val="007A710E"/>
    <w:rsid w:val="007A71F2"/>
    <w:rsid w:val="007B2031"/>
    <w:rsid w:val="007B22FE"/>
    <w:rsid w:val="007B3D36"/>
    <w:rsid w:val="007B46FF"/>
    <w:rsid w:val="007B528F"/>
    <w:rsid w:val="007B5924"/>
    <w:rsid w:val="007B761D"/>
    <w:rsid w:val="007C10AF"/>
    <w:rsid w:val="007C2F16"/>
    <w:rsid w:val="007C5B30"/>
    <w:rsid w:val="007D1C6C"/>
    <w:rsid w:val="007D73F6"/>
    <w:rsid w:val="007D79AA"/>
    <w:rsid w:val="007E0E6D"/>
    <w:rsid w:val="007E1B6A"/>
    <w:rsid w:val="007E391D"/>
    <w:rsid w:val="007E49FC"/>
    <w:rsid w:val="007E74A9"/>
    <w:rsid w:val="007E7FB2"/>
    <w:rsid w:val="007F07A7"/>
    <w:rsid w:val="007F0B8E"/>
    <w:rsid w:val="007F1421"/>
    <w:rsid w:val="007F2962"/>
    <w:rsid w:val="007F3DBC"/>
    <w:rsid w:val="007F4543"/>
    <w:rsid w:val="007F56FC"/>
    <w:rsid w:val="007F67B0"/>
    <w:rsid w:val="007F73FD"/>
    <w:rsid w:val="007F7ACF"/>
    <w:rsid w:val="00800641"/>
    <w:rsid w:val="00803FCC"/>
    <w:rsid w:val="00806826"/>
    <w:rsid w:val="00806A05"/>
    <w:rsid w:val="00806BD1"/>
    <w:rsid w:val="00807510"/>
    <w:rsid w:val="0081078C"/>
    <w:rsid w:val="00810A15"/>
    <w:rsid w:val="00811483"/>
    <w:rsid w:val="00811A8A"/>
    <w:rsid w:val="008144B3"/>
    <w:rsid w:val="00815190"/>
    <w:rsid w:val="008154D2"/>
    <w:rsid w:val="00815A40"/>
    <w:rsid w:val="00816633"/>
    <w:rsid w:val="00817EAC"/>
    <w:rsid w:val="00817F06"/>
    <w:rsid w:val="008230D0"/>
    <w:rsid w:val="0082333E"/>
    <w:rsid w:val="00824322"/>
    <w:rsid w:val="00824930"/>
    <w:rsid w:val="0082521D"/>
    <w:rsid w:val="00826554"/>
    <w:rsid w:val="008267FF"/>
    <w:rsid w:val="008269E8"/>
    <w:rsid w:val="00826F3D"/>
    <w:rsid w:val="0082731A"/>
    <w:rsid w:val="00830219"/>
    <w:rsid w:val="0083320D"/>
    <w:rsid w:val="008352DF"/>
    <w:rsid w:val="00835F12"/>
    <w:rsid w:val="00841340"/>
    <w:rsid w:val="008414F4"/>
    <w:rsid w:val="0084318B"/>
    <w:rsid w:val="00843F96"/>
    <w:rsid w:val="00844BD6"/>
    <w:rsid w:val="00846E74"/>
    <w:rsid w:val="008514E5"/>
    <w:rsid w:val="0085155F"/>
    <w:rsid w:val="008533BC"/>
    <w:rsid w:val="008549C9"/>
    <w:rsid w:val="00854A45"/>
    <w:rsid w:val="00860D7A"/>
    <w:rsid w:val="00863254"/>
    <w:rsid w:val="00866204"/>
    <w:rsid w:val="0086623F"/>
    <w:rsid w:val="00866681"/>
    <w:rsid w:val="00866E2E"/>
    <w:rsid w:val="00867390"/>
    <w:rsid w:val="00867957"/>
    <w:rsid w:val="0087034E"/>
    <w:rsid w:val="00870DFE"/>
    <w:rsid w:val="008721B5"/>
    <w:rsid w:val="0087307B"/>
    <w:rsid w:val="00880C42"/>
    <w:rsid w:val="00881115"/>
    <w:rsid w:val="00882CC2"/>
    <w:rsid w:val="0088577C"/>
    <w:rsid w:val="00885FB7"/>
    <w:rsid w:val="0088669C"/>
    <w:rsid w:val="00890915"/>
    <w:rsid w:val="0089190A"/>
    <w:rsid w:val="0089401D"/>
    <w:rsid w:val="00894DE1"/>
    <w:rsid w:val="00894FD7"/>
    <w:rsid w:val="008950BC"/>
    <w:rsid w:val="00896217"/>
    <w:rsid w:val="008975C9"/>
    <w:rsid w:val="008A094F"/>
    <w:rsid w:val="008A2404"/>
    <w:rsid w:val="008A5F94"/>
    <w:rsid w:val="008A7024"/>
    <w:rsid w:val="008A7FC0"/>
    <w:rsid w:val="008B00DE"/>
    <w:rsid w:val="008B10D4"/>
    <w:rsid w:val="008B1C1C"/>
    <w:rsid w:val="008B5DBA"/>
    <w:rsid w:val="008B651C"/>
    <w:rsid w:val="008B76DF"/>
    <w:rsid w:val="008C0A94"/>
    <w:rsid w:val="008C0AE0"/>
    <w:rsid w:val="008C1109"/>
    <w:rsid w:val="008C2BF1"/>
    <w:rsid w:val="008C3BB5"/>
    <w:rsid w:val="008C6CB2"/>
    <w:rsid w:val="008C7429"/>
    <w:rsid w:val="008C7A0F"/>
    <w:rsid w:val="008D0685"/>
    <w:rsid w:val="008D3EE7"/>
    <w:rsid w:val="008D5E7D"/>
    <w:rsid w:val="008D658B"/>
    <w:rsid w:val="008D68C0"/>
    <w:rsid w:val="008D7CC2"/>
    <w:rsid w:val="008E0355"/>
    <w:rsid w:val="008E19EF"/>
    <w:rsid w:val="008E376B"/>
    <w:rsid w:val="008E40C3"/>
    <w:rsid w:val="008E54B3"/>
    <w:rsid w:val="008F056F"/>
    <w:rsid w:val="008F142C"/>
    <w:rsid w:val="008F392D"/>
    <w:rsid w:val="008F4F54"/>
    <w:rsid w:val="008F54E6"/>
    <w:rsid w:val="008F71C2"/>
    <w:rsid w:val="008F7294"/>
    <w:rsid w:val="008F7E0D"/>
    <w:rsid w:val="008F7FDA"/>
    <w:rsid w:val="009004A8"/>
    <w:rsid w:val="00901664"/>
    <w:rsid w:val="00901A16"/>
    <w:rsid w:val="00904886"/>
    <w:rsid w:val="0090699F"/>
    <w:rsid w:val="009103B5"/>
    <w:rsid w:val="009104F3"/>
    <w:rsid w:val="009112EB"/>
    <w:rsid w:val="009127A4"/>
    <w:rsid w:val="00912FF0"/>
    <w:rsid w:val="009138A6"/>
    <w:rsid w:val="00915D78"/>
    <w:rsid w:val="009166C7"/>
    <w:rsid w:val="00916731"/>
    <w:rsid w:val="009175E0"/>
    <w:rsid w:val="00917D13"/>
    <w:rsid w:val="00917D1C"/>
    <w:rsid w:val="009206E5"/>
    <w:rsid w:val="00920DFA"/>
    <w:rsid w:val="0092370D"/>
    <w:rsid w:val="009239DD"/>
    <w:rsid w:val="00923BD2"/>
    <w:rsid w:val="009244AE"/>
    <w:rsid w:val="009266E0"/>
    <w:rsid w:val="0092774D"/>
    <w:rsid w:val="00933149"/>
    <w:rsid w:val="00935367"/>
    <w:rsid w:val="00935977"/>
    <w:rsid w:val="00936CB3"/>
    <w:rsid w:val="009372B6"/>
    <w:rsid w:val="0094213C"/>
    <w:rsid w:val="009427BA"/>
    <w:rsid w:val="009441A1"/>
    <w:rsid w:val="00944A75"/>
    <w:rsid w:val="00945322"/>
    <w:rsid w:val="00946598"/>
    <w:rsid w:val="00946D14"/>
    <w:rsid w:val="009476C1"/>
    <w:rsid w:val="00951F55"/>
    <w:rsid w:val="009540CD"/>
    <w:rsid w:val="009556B1"/>
    <w:rsid w:val="00960240"/>
    <w:rsid w:val="009612A9"/>
    <w:rsid w:val="00963F64"/>
    <w:rsid w:val="00965B3E"/>
    <w:rsid w:val="00966518"/>
    <w:rsid w:val="0096651F"/>
    <w:rsid w:val="00970647"/>
    <w:rsid w:val="009708A2"/>
    <w:rsid w:val="00974BD0"/>
    <w:rsid w:val="009803D5"/>
    <w:rsid w:val="00980952"/>
    <w:rsid w:val="00983625"/>
    <w:rsid w:val="009863C3"/>
    <w:rsid w:val="009910E7"/>
    <w:rsid w:val="00991F31"/>
    <w:rsid w:val="009939CC"/>
    <w:rsid w:val="00994FA0"/>
    <w:rsid w:val="009969E8"/>
    <w:rsid w:val="009A1FB5"/>
    <w:rsid w:val="009A28E7"/>
    <w:rsid w:val="009A3360"/>
    <w:rsid w:val="009A3396"/>
    <w:rsid w:val="009A3734"/>
    <w:rsid w:val="009A690A"/>
    <w:rsid w:val="009A6DC1"/>
    <w:rsid w:val="009A7E84"/>
    <w:rsid w:val="009B2D0D"/>
    <w:rsid w:val="009B2FA4"/>
    <w:rsid w:val="009B3AB8"/>
    <w:rsid w:val="009B4BE5"/>
    <w:rsid w:val="009B52A8"/>
    <w:rsid w:val="009B66AE"/>
    <w:rsid w:val="009B7BB1"/>
    <w:rsid w:val="009C00E4"/>
    <w:rsid w:val="009C1266"/>
    <w:rsid w:val="009C3FE7"/>
    <w:rsid w:val="009C4659"/>
    <w:rsid w:val="009C5170"/>
    <w:rsid w:val="009C7008"/>
    <w:rsid w:val="009D2F52"/>
    <w:rsid w:val="009D3E05"/>
    <w:rsid w:val="009D4298"/>
    <w:rsid w:val="009D4C21"/>
    <w:rsid w:val="009D5D4E"/>
    <w:rsid w:val="009D60DC"/>
    <w:rsid w:val="009D7B27"/>
    <w:rsid w:val="009E05A1"/>
    <w:rsid w:val="009E10B9"/>
    <w:rsid w:val="009E16E5"/>
    <w:rsid w:val="009E2C11"/>
    <w:rsid w:val="009E37BB"/>
    <w:rsid w:val="00A01208"/>
    <w:rsid w:val="00A02DAA"/>
    <w:rsid w:val="00A03A22"/>
    <w:rsid w:val="00A05825"/>
    <w:rsid w:val="00A12629"/>
    <w:rsid w:val="00A16E4B"/>
    <w:rsid w:val="00A171E5"/>
    <w:rsid w:val="00A211BA"/>
    <w:rsid w:val="00A24E5A"/>
    <w:rsid w:val="00A3019F"/>
    <w:rsid w:val="00A30A8F"/>
    <w:rsid w:val="00A30BB6"/>
    <w:rsid w:val="00A31236"/>
    <w:rsid w:val="00A31989"/>
    <w:rsid w:val="00A35228"/>
    <w:rsid w:val="00A36927"/>
    <w:rsid w:val="00A3727B"/>
    <w:rsid w:val="00A377F3"/>
    <w:rsid w:val="00A379F2"/>
    <w:rsid w:val="00A37DBE"/>
    <w:rsid w:val="00A41977"/>
    <w:rsid w:val="00A4600D"/>
    <w:rsid w:val="00A4771D"/>
    <w:rsid w:val="00A51DDF"/>
    <w:rsid w:val="00A52B6C"/>
    <w:rsid w:val="00A53C9E"/>
    <w:rsid w:val="00A5451C"/>
    <w:rsid w:val="00A55AC7"/>
    <w:rsid w:val="00A56FB5"/>
    <w:rsid w:val="00A600C2"/>
    <w:rsid w:val="00A609E3"/>
    <w:rsid w:val="00A621F5"/>
    <w:rsid w:val="00A635FE"/>
    <w:rsid w:val="00A65557"/>
    <w:rsid w:val="00A7031F"/>
    <w:rsid w:val="00A72330"/>
    <w:rsid w:val="00A731EB"/>
    <w:rsid w:val="00A770A7"/>
    <w:rsid w:val="00A775E9"/>
    <w:rsid w:val="00A77DD1"/>
    <w:rsid w:val="00A83C6C"/>
    <w:rsid w:val="00A8503B"/>
    <w:rsid w:val="00A86003"/>
    <w:rsid w:val="00A90EBE"/>
    <w:rsid w:val="00A90F91"/>
    <w:rsid w:val="00A92ADA"/>
    <w:rsid w:val="00A9637F"/>
    <w:rsid w:val="00A97FF5"/>
    <w:rsid w:val="00AA15D6"/>
    <w:rsid w:val="00AA2706"/>
    <w:rsid w:val="00AA3D9F"/>
    <w:rsid w:val="00AA3F98"/>
    <w:rsid w:val="00AA4E5B"/>
    <w:rsid w:val="00AB0CC5"/>
    <w:rsid w:val="00AB1492"/>
    <w:rsid w:val="00AB2DF6"/>
    <w:rsid w:val="00AB4B38"/>
    <w:rsid w:val="00AB5385"/>
    <w:rsid w:val="00AB703E"/>
    <w:rsid w:val="00AB724B"/>
    <w:rsid w:val="00AC2348"/>
    <w:rsid w:val="00AC5AE2"/>
    <w:rsid w:val="00AC6D24"/>
    <w:rsid w:val="00AC77F0"/>
    <w:rsid w:val="00AD0064"/>
    <w:rsid w:val="00AD2CFD"/>
    <w:rsid w:val="00AD3BE5"/>
    <w:rsid w:val="00AD4B5A"/>
    <w:rsid w:val="00AD77D9"/>
    <w:rsid w:val="00AD7B2D"/>
    <w:rsid w:val="00AE009B"/>
    <w:rsid w:val="00AE0E8E"/>
    <w:rsid w:val="00AE0F10"/>
    <w:rsid w:val="00AE149D"/>
    <w:rsid w:val="00AE4870"/>
    <w:rsid w:val="00AE7ED9"/>
    <w:rsid w:val="00AF2688"/>
    <w:rsid w:val="00AF3D0A"/>
    <w:rsid w:val="00AF4BB8"/>
    <w:rsid w:val="00B00633"/>
    <w:rsid w:val="00B013A4"/>
    <w:rsid w:val="00B01539"/>
    <w:rsid w:val="00B0322A"/>
    <w:rsid w:val="00B054C9"/>
    <w:rsid w:val="00B071D6"/>
    <w:rsid w:val="00B071FC"/>
    <w:rsid w:val="00B07C95"/>
    <w:rsid w:val="00B07DFD"/>
    <w:rsid w:val="00B10066"/>
    <w:rsid w:val="00B14DC6"/>
    <w:rsid w:val="00B164BC"/>
    <w:rsid w:val="00B20B20"/>
    <w:rsid w:val="00B21398"/>
    <w:rsid w:val="00B21CFE"/>
    <w:rsid w:val="00B2375B"/>
    <w:rsid w:val="00B24636"/>
    <w:rsid w:val="00B24F10"/>
    <w:rsid w:val="00B3225C"/>
    <w:rsid w:val="00B33AF6"/>
    <w:rsid w:val="00B34106"/>
    <w:rsid w:val="00B3426E"/>
    <w:rsid w:val="00B36917"/>
    <w:rsid w:val="00B40045"/>
    <w:rsid w:val="00B40ED4"/>
    <w:rsid w:val="00B42E52"/>
    <w:rsid w:val="00B44252"/>
    <w:rsid w:val="00B44329"/>
    <w:rsid w:val="00B4628A"/>
    <w:rsid w:val="00B462E0"/>
    <w:rsid w:val="00B47182"/>
    <w:rsid w:val="00B5203F"/>
    <w:rsid w:val="00B52378"/>
    <w:rsid w:val="00B53D1D"/>
    <w:rsid w:val="00B55625"/>
    <w:rsid w:val="00B56B68"/>
    <w:rsid w:val="00B60316"/>
    <w:rsid w:val="00B605E0"/>
    <w:rsid w:val="00B62D56"/>
    <w:rsid w:val="00B63A6E"/>
    <w:rsid w:val="00B64738"/>
    <w:rsid w:val="00B655AE"/>
    <w:rsid w:val="00B718D1"/>
    <w:rsid w:val="00B7270E"/>
    <w:rsid w:val="00B727F6"/>
    <w:rsid w:val="00B76733"/>
    <w:rsid w:val="00B7698C"/>
    <w:rsid w:val="00B77A76"/>
    <w:rsid w:val="00B802BB"/>
    <w:rsid w:val="00B807B1"/>
    <w:rsid w:val="00B82FF2"/>
    <w:rsid w:val="00B9140D"/>
    <w:rsid w:val="00B931F4"/>
    <w:rsid w:val="00B96572"/>
    <w:rsid w:val="00BA1800"/>
    <w:rsid w:val="00BA21CA"/>
    <w:rsid w:val="00BA2EA1"/>
    <w:rsid w:val="00BA48AC"/>
    <w:rsid w:val="00BA5B6A"/>
    <w:rsid w:val="00BA74C2"/>
    <w:rsid w:val="00BB1D43"/>
    <w:rsid w:val="00BB241C"/>
    <w:rsid w:val="00BB3627"/>
    <w:rsid w:val="00BB3A05"/>
    <w:rsid w:val="00BC01F1"/>
    <w:rsid w:val="00BC027A"/>
    <w:rsid w:val="00BC19B0"/>
    <w:rsid w:val="00BC2168"/>
    <w:rsid w:val="00BC5C75"/>
    <w:rsid w:val="00BC6D3A"/>
    <w:rsid w:val="00BC6F4A"/>
    <w:rsid w:val="00BC7418"/>
    <w:rsid w:val="00BD0F7E"/>
    <w:rsid w:val="00BD1974"/>
    <w:rsid w:val="00BD2D9A"/>
    <w:rsid w:val="00BD33B0"/>
    <w:rsid w:val="00BD523A"/>
    <w:rsid w:val="00BD5EDB"/>
    <w:rsid w:val="00BE0A36"/>
    <w:rsid w:val="00BE1B65"/>
    <w:rsid w:val="00BE7B86"/>
    <w:rsid w:val="00BF03B2"/>
    <w:rsid w:val="00BF0E51"/>
    <w:rsid w:val="00BF307E"/>
    <w:rsid w:val="00BF3A41"/>
    <w:rsid w:val="00BF3FFC"/>
    <w:rsid w:val="00BF4C50"/>
    <w:rsid w:val="00BF59DE"/>
    <w:rsid w:val="00BF7B44"/>
    <w:rsid w:val="00C04C1F"/>
    <w:rsid w:val="00C05775"/>
    <w:rsid w:val="00C06AFD"/>
    <w:rsid w:val="00C114E5"/>
    <w:rsid w:val="00C150AE"/>
    <w:rsid w:val="00C150C0"/>
    <w:rsid w:val="00C16639"/>
    <w:rsid w:val="00C16F61"/>
    <w:rsid w:val="00C1707E"/>
    <w:rsid w:val="00C23E17"/>
    <w:rsid w:val="00C23EE7"/>
    <w:rsid w:val="00C26A6F"/>
    <w:rsid w:val="00C27EB5"/>
    <w:rsid w:val="00C3225A"/>
    <w:rsid w:val="00C325CC"/>
    <w:rsid w:val="00C3434E"/>
    <w:rsid w:val="00C34383"/>
    <w:rsid w:val="00C35757"/>
    <w:rsid w:val="00C35BED"/>
    <w:rsid w:val="00C36384"/>
    <w:rsid w:val="00C439FD"/>
    <w:rsid w:val="00C45CD8"/>
    <w:rsid w:val="00C461D1"/>
    <w:rsid w:val="00C5442D"/>
    <w:rsid w:val="00C55F52"/>
    <w:rsid w:val="00C56BB3"/>
    <w:rsid w:val="00C5727B"/>
    <w:rsid w:val="00C577DF"/>
    <w:rsid w:val="00C606E4"/>
    <w:rsid w:val="00C61501"/>
    <w:rsid w:val="00C61CD7"/>
    <w:rsid w:val="00C6216E"/>
    <w:rsid w:val="00C665A7"/>
    <w:rsid w:val="00C67B39"/>
    <w:rsid w:val="00C70DBE"/>
    <w:rsid w:val="00C71C5A"/>
    <w:rsid w:val="00C771A2"/>
    <w:rsid w:val="00C772C6"/>
    <w:rsid w:val="00C8070C"/>
    <w:rsid w:val="00C807C8"/>
    <w:rsid w:val="00C80D58"/>
    <w:rsid w:val="00C810EF"/>
    <w:rsid w:val="00C819F2"/>
    <w:rsid w:val="00C833F0"/>
    <w:rsid w:val="00C83942"/>
    <w:rsid w:val="00C85543"/>
    <w:rsid w:val="00C94A56"/>
    <w:rsid w:val="00C952EA"/>
    <w:rsid w:val="00C97311"/>
    <w:rsid w:val="00CA0054"/>
    <w:rsid w:val="00CA08CB"/>
    <w:rsid w:val="00CA14C7"/>
    <w:rsid w:val="00CA190A"/>
    <w:rsid w:val="00CA7DDF"/>
    <w:rsid w:val="00CB195B"/>
    <w:rsid w:val="00CB23C8"/>
    <w:rsid w:val="00CB27FC"/>
    <w:rsid w:val="00CB3E1F"/>
    <w:rsid w:val="00CB5550"/>
    <w:rsid w:val="00CB6AB0"/>
    <w:rsid w:val="00CC1A3A"/>
    <w:rsid w:val="00CC21C5"/>
    <w:rsid w:val="00CC2F28"/>
    <w:rsid w:val="00CC3892"/>
    <w:rsid w:val="00CC488A"/>
    <w:rsid w:val="00CC5D59"/>
    <w:rsid w:val="00CC70D9"/>
    <w:rsid w:val="00CD17DA"/>
    <w:rsid w:val="00CD4B7C"/>
    <w:rsid w:val="00CD5185"/>
    <w:rsid w:val="00CD576E"/>
    <w:rsid w:val="00CD720E"/>
    <w:rsid w:val="00CE044E"/>
    <w:rsid w:val="00CE1602"/>
    <w:rsid w:val="00CE2F6B"/>
    <w:rsid w:val="00CE523D"/>
    <w:rsid w:val="00CE65D4"/>
    <w:rsid w:val="00CF13E1"/>
    <w:rsid w:val="00CF26D9"/>
    <w:rsid w:val="00CF36C9"/>
    <w:rsid w:val="00D0026C"/>
    <w:rsid w:val="00D01BCB"/>
    <w:rsid w:val="00D02169"/>
    <w:rsid w:val="00D03089"/>
    <w:rsid w:val="00D04D61"/>
    <w:rsid w:val="00D05C91"/>
    <w:rsid w:val="00D109B7"/>
    <w:rsid w:val="00D10FE8"/>
    <w:rsid w:val="00D11876"/>
    <w:rsid w:val="00D11949"/>
    <w:rsid w:val="00D12BB0"/>
    <w:rsid w:val="00D13DA5"/>
    <w:rsid w:val="00D164A0"/>
    <w:rsid w:val="00D20B4E"/>
    <w:rsid w:val="00D2141B"/>
    <w:rsid w:val="00D22344"/>
    <w:rsid w:val="00D25CA5"/>
    <w:rsid w:val="00D260BC"/>
    <w:rsid w:val="00D2642A"/>
    <w:rsid w:val="00D271E4"/>
    <w:rsid w:val="00D27AFD"/>
    <w:rsid w:val="00D31B31"/>
    <w:rsid w:val="00D33014"/>
    <w:rsid w:val="00D33A76"/>
    <w:rsid w:val="00D35CA0"/>
    <w:rsid w:val="00D41150"/>
    <w:rsid w:val="00D43707"/>
    <w:rsid w:val="00D441D9"/>
    <w:rsid w:val="00D44654"/>
    <w:rsid w:val="00D51833"/>
    <w:rsid w:val="00D51E6C"/>
    <w:rsid w:val="00D53C43"/>
    <w:rsid w:val="00D540EB"/>
    <w:rsid w:val="00D57CDA"/>
    <w:rsid w:val="00D666F1"/>
    <w:rsid w:val="00D671B7"/>
    <w:rsid w:val="00D67F34"/>
    <w:rsid w:val="00D70268"/>
    <w:rsid w:val="00D72CE6"/>
    <w:rsid w:val="00D754A0"/>
    <w:rsid w:val="00D77B77"/>
    <w:rsid w:val="00D80672"/>
    <w:rsid w:val="00D82ACA"/>
    <w:rsid w:val="00D83094"/>
    <w:rsid w:val="00D8535B"/>
    <w:rsid w:val="00D856B7"/>
    <w:rsid w:val="00D87876"/>
    <w:rsid w:val="00D87A88"/>
    <w:rsid w:val="00D90EF4"/>
    <w:rsid w:val="00D9328C"/>
    <w:rsid w:val="00D9353D"/>
    <w:rsid w:val="00D950EA"/>
    <w:rsid w:val="00D972CB"/>
    <w:rsid w:val="00DA0ABA"/>
    <w:rsid w:val="00DA1943"/>
    <w:rsid w:val="00DA297E"/>
    <w:rsid w:val="00DA5091"/>
    <w:rsid w:val="00DA5A04"/>
    <w:rsid w:val="00DA5EEA"/>
    <w:rsid w:val="00DA6A7E"/>
    <w:rsid w:val="00DA744A"/>
    <w:rsid w:val="00DA766B"/>
    <w:rsid w:val="00DA7DEF"/>
    <w:rsid w:val="00DB0997"/>
    <w:rsid w:val="00DB3EA1"/>
    <w:rsid w:val="00DB52A3"/>
    <w:rsid w:val="00DB6B2B"/>
    <w:rsid w:val="00DC02D1"/>
    <w:rsid w:val="00DC1DDE"/>
    <w:rsid w:val="00DC2D6D"/>
    <w:rsid w:val="00DC44A3"/>
    <w:rsid w:val="00DC5FF4"/>
    <w:rsid w:val="00DC7953"/>
    <w:rsid w:val="00DD113B"/>
    <w:rsid w:val="00DD2DAD"/>
    <w:rsid w:val="00DD3418"/>
    <w:rsid w:val="00DD3994"/>
    <w:rsid w:val="00DD7810"/>
    <w:rsid w:val="00DE0AB8"/>
    <w:rsid w:val="00DE5222"/>
    <w:rsid w:val="00DE55A5"/>
    <w:rsid w:val="00DF026B"/>
    <w:rsid w:val="00DF07AE"/>
    <w:rsid w:val="00DF0D9A"/>
    <w:rsid w:val="00DF12A7"/>
    <w:rsid w:val="00DF16B5"/>
    <w:rsid w:val="00DF23D9"/>
    <w:rsid w:val="00DF2774"/>
    <w:rsid w:val="00DF2BDB"/>
    <w:rsid w:val="00DF2F40"/>
    <w:rsid w:val="00DF493E"/>
    <w:rsid w:val="00DF5F57"/>
    <w:rsid w:val="00DF73FE"/>
    <w:rsid w:val="00E00300"/>
    <w:rsid w:val="00E02BB8"/>
    <w:rsid w:val="00E039B2"/>
    <w:rsid w:val="00E07220"/>
    <w:rsid w:val="00E1164C"/>
    <w:rsid w:val="00E1181E"/>
    <w:rsid w:val="00E12368"/>
    <w:rsid w:val="00E130EC"/>
    <w:rsid w:val="00E1320A"/>
    <w:rsid w:val="00E13233"/>
    <w:rsid w:val="00E14D1F"/>
    <w:rsid w:val="00E15223"/>
    <w:rsid w:val="00E17D07"/>
    <w:rsid w:val="00E3013B"/>
    <w:rsid w:val="00E30971"/>
    <w:rsid w:val="00E33093"/>
    <w:rsid w:val="00E34FD4"/>
    <w:rsid w:val="00E364FD"/>
    <w:rsid w:val="00E37A9B"/>
    <w:rsid w:val="00E42A27"/>
    <w:rsid w:val="00E4429A"/>
    <w:rsid w:val="00E448BA"/>
    <w:rsid w:val="00E45C33"/>
    <w:rsid w:val="00E45CC1"/>
    <w:rsid w:val="00E45F05"/>
    <w:rsid w:val="00E5244D"/>
    <w:rsid w:val="00E52ADA"/>
    <w:rsid w:val="00E52F77"/>
    <w:rsid w:val="00E5303B"/>
    <w:rsid w:val="00E53667"/>
    <w:rsid w:val="00E54D8B"/>
    <w:rsid w:val="00E56704"/>
    <w:rsid w:val="00E606C2"/>
    <w:rsid w:val="00E61456"/>
    <w:rsid w:val="00E633A0"/>
    <w:rsid w:val="00E63B59"/>
    <w:rsid w:val="00E64EEA"/>
    <w:rsid w:val="00E6515B"/>
    <w:rsid w:val="00E65DE1"/>
    <w:rsid w:val="00E673BA"/>
    <w:rsid w:val="00E67816"/>
    <w:rsid w:val="00E67FB6"/>
    <w:rsid w:val="00E71260"/>
    <w:rsid w:val="00E75A37"/>
    <w:rsid w:val="00E77267"/>
    <w:rsid w:val="00E804CF"/>
    <w:rsid w:val="00E8133D"/>
    <w:rsid w:val="00E84F2F"/>
    <w:rsid w:val="00E85892"/>
    <w:rsid w:val="00E85E9D"/>
    <w:rsid w:val="00E86D47"/>
    <w:rsid w:val="00E90557"/>
    <w:rsid w:val="00E90D0B"/>
    <w:rsid w:val="00E954F7"/>
    <w:rsid w:val="00E95592"/>
    <w:rsid w:val="00E97351"/>
    <w:rsid w:val="00EA22D9"/>
    <w:rsid w:val="00EA3B72"/>
    <w:rsid w:val="00EA587E"/>
    <w:rsid w:val="00EA6011"/>
    <w:rsid w:val="00EA6884"/>
    <w:rsid w:val="00EA722E"/>
    <w:rsid w:val="00EB0012"/>
    <w:rsid w:val="00EB2028"/>
    <w:rsid w:val="00EB5829"/>
    <w:rsid w:val="00EB5CF3"/>
    <w:rsid w:val="00EB6223"/>
    <w:rsid w:val="00EB6362"/>
    <w:rsid w:val="00EC0B11"/>
    <w:rsid w:val="00EC1382"/>
    <w:rsid w:val="00EC1E56"/>
    <w:rsid w:val="00EC253F"/>
    <w:rsid w:val="00EC2C0C"/>
    <w:rsid w:val="00EC482C"/>
    <w:rsid w:val="00EC675E"/>
    <w:rsid w:val="00EC6C10"/>
    <w:rsid w:val="00ED0FD8"/>
    <w:rsid w:val="00ED1880"/>
    <w:rsid w:val="00ED1C73"/>
    <w:rsid w:val="00ED24AF"/>
    <w:rsid w:val="00ED2D2B"/>
    <w:rsid w:val="00ED321B"/>
    <w:rsid w:val="00ED38CE"/>
    <w:rsid w:val="00ED3E39"/>
    <w:rsid w:val="00ED40C7"/>
    <w:rsid w:val="00ED5727"/>
    <w:rsid w:val="00ED5AF0"/>
    <w:rsid w:val="00ED689E"/>
    <w:rsid w:val="00ED6D62"/>
    <w:rsid w:val="00ED6F34"/>
    <w:rsid w:val="00ED7C43"/>
    <w:rsid w:val="00EE07EC"/>
    <w:rsid w:val="00EE383D"/>
    <w:rsid w:val="00EE4A5E"/>
    <w:rsid w:val="00EE57D8"/>
    <w:rsid w:val="00EE5A3C"/>
    <w:rsid w:val="00EE7F63"/>
    <w:rsid w:val="00EF0E6E"/>
    <w:rsid w:val="00EF2F27"/>
    <w:rsid w:val="00EF5BD1"/>
    <w:rsid w:val="00EF721C"/>
    <w:rsid w:val="00F0011B"/>
    <w:rsid w:val="00F005BE"/>
    <w:rsid w:val="00F00A6B"/>
    <w:rsid w:val="00F01AEF"/>
    <w:rsid w:val="00F0236B"/>
    <w:rsid w:val="00F026F3"/>
    <w:rsid w:val="00F0513D"/>
    <w:rsid w:val="00F05A87"/>
    <w:rsid w:val="00F06691"/>
    <w:rsid w:val="00F06FF6"/>
    <w:rsid w:val="00F112B5"/>
    <w:rsid w:val="00F1450B"/>
    <w:rsid w:val="00F147EA"/>
    <w:rsid w:val="00F168F8"/>
    <w:rsid w:val="00F215BF"/>
    <w:rsid w:val="00F259E1"/>
    <w:rsid w:val="00F26B6C"/>
    <w:rsid w:val="00F30000"/>
    <w:rsid w:val="00F30376"/>
    <w:rsid w:val="00F303E0"/>
    <w:rsid w:val="00F3280D"/>
    <w:rsid w:val="00F345C9"/>
    <w:rsid w:val="00F358DC"/>
    <w:rsid w:val="00F36B32"/>
    <w:rsid w:val="00F37981"/>
    <w:rsid w:val="00F409AA"/>
    <w:rsid w:val="00F42123"/>
    <w:rsid w:val="00F4347D"/>
    <w:rsid w:val="00F44D1C"/>
    <w:rsid w:val="00F44D3E"/>
    <w:rsid w:val="00F45731"/>
    <w:rsid w:val="00F5364E"/>
    <w:rsid w:val="00F539D3"/>
    <w:rsid w:val="00F55DAE"/>
    <w:rsid w:val="00F62D4F"/>
    <w:rsid w:val="00F64827"/>
    <w:rsid w:val="00F65DE4"/>
    <w:rsid w:val="00F66C91"/>
    <w:rsid w:val="00F7011B"/>
    <w:rsid w:val="00F70468"/>
    <w:rsid w:val="00F70E5B"/>
    <w:rsid w:val="00F712D1"/>
    <w:rsid w:val="00F735AA"/>
    <w:rsid w:val="00F7634B"/>
    <w:rsid w:val="00F817DD"/>
    <w:rsid w:val="00F82985"/>
    <w:rsid w:val="00F82AC7"/>
    <w:rsid w:val="00F83516"/>
    <w:rsid w:val="00F83CDF"/>
    <w:rsid w:val="00F8449D"/>
    <w:rsid w:val="00F84A03"/>
    <w:rsid w:val="00F84D0B"/>
    <w:rsid w:val="00F905DE"/>
    <w:rsid w:val="00F90C9F"/>
    <w:rsid w:val="00F90D2B"/>
    <w:rsid w:val="00F913C1"/>
    <w:rsid w:val="00F955DD"/>
    <w:rsid w:val="00FA0B4E"/>
    <w:rsid w:val="00FA1673"/>
    <w:rsid w:val="00FA32B5"/>
    <w:rsid w:val="00FA386B"/>
    <w:rsid w:val="00FA4DA6"/>
    <w:rsid w:val="00FA5F10"/>
    <w:rsid w:val="00FA6C14"/>
    <w:rsid w:val="00FA7C51"/>
    <w:rsid w:val="00FB1040"/>
    <w:rsid w:val="00FB1888"/>
    <w:rsid w:val="00FB71A6"/>
    <w:rsid w:val="00FB7736"/>
    <w:rsid w:val="00FC1757"/>
    <w:rsid w:val="00FC3B13"/>
    <w:rsid w:val="00FC66AC"/>
    <w:rsid w:val="00FC6784"/>
    <w:rsid w:val="00FC70B3"/>
    <w:rsid w:val="00FD159B"/>
    <w:rsid w:val="00FD1EBC"/>
    <w:rsid w:val="00FD61A0"/>
    <w:rsid w:val="00FD7576"/>
    <w:rsid w:val="00FD76CA"/>
    <w:rsid w:val="00FE7AAB"/>
    <w:rsid w:val="00FE7F2B"/>
    <w:rsid w:val="00FF2287"/>
    <w:rsid w:val="00FF6197"/>
    <w:rsid w:val="00FF63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3EEC7"/>
  <w15:docId w15:val="{2218500B-C02E-4876-8E5D-D63C725B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0C0"/>
    <w:pPr>
      <w:spacing w:after="120" w:line="240" w:lineRule="auto"/>
      <w:jc w:val="both"/>
    </w:pPr>
    <w:rPr>
      <w:sz w:val="20"/>
    </w:rPr>
  </w:style>
  <w:style w:type="paragraph" w:styleId="Heading1">
    <w:name w:val="heading 1"/>
    <w:basedOn w:val="Title2"/>
    <w:next w:val="Normal"/>
    <w:link w:val="Heading1Char"/>
    <w:uiPriority w:val="9"/>
    <w:qFormat/>
    <w:rsid w:val="005C77BD"/>
    <w:pPr>
      <w:numPr>
        <w:numId w:val="18"/>
      </w:numPr>
      <w:spacing w:after="120" w:line="240" w:lineRule="auto"/>
      <w:ind w:left="431" w:hanging="431"/>
      <w:outlineLvl w:val="0"/>
    </w:pPr>
  </w:style>
  <w:style w:type="paragraph" w:styleId="Heading2">
    <w:name w:val="heading 2"/>
    <w:basedOn w:val="Normal"/>
    <w:next w:val="Normal"/>
    <w:link w:val="Heading2Char"/>
    <w:uiPriority w:val="9"/>
    <w:unhideWhenUsed/>
    <w:qFormat/>
    <w:rsid w:val="005C77BD"/>
    <w:pPr>
      <w:keepNext/>
      <w:keepLines/>
      <w:numPr>
        <w:ilvl w:val="1"/>
        <w:numId w:val="18"/>
      </w:numPr>
      <w:spacing w:before="240" w:after="60"/>
      <w:ind w:left="578" w:hanging="578"/>
      <w:outlineLvl w:val="1"/>
    </w:pPr>
    <w:rPr>
      <w:rFonts w:eastAsiaTheme="majorEastAsia" w:cstheme="minorHAnsi"/>
      <w:color w:val="365F91" w:themeColor="accent1" w:themeShade="BF"/>
      <w:sz w:val="26"/>
      <w:szCs w:val="26"/>
      <w:lang w:eastAsia="fr-FR"/>
    </w:rPr>
  </w:style>
  <w:style w:type="paragraph" w:styleId="Heading3">
    <w:name w:val="heading 3"/>
    <w:basedOn w:val="Heading2"/>
    <w:next w:val="Normal"/>
    <w:link w:val="Heading3Char"/>
    <w:uiPriority w:val="9"/>
    <w:unhideWhenUsed/>
    <w:qFormat/>
    <w:rsid w:val="001F5AF9"/>
    <w:pPr>
      <w:numPr>
        <w:ilvl w:val="0"/>
        <w:numId w:val="0"/>
      </w:numPr>
      <w:spacing w:before="120" w:after="0"/>
      <w:outlineLvl w:val="2"/>
    </w:pPr>
    <w:rPr>
      <w:i/>
      <w:iCs/>
      <w:sz w:val="22"/>
      <w:szCs w:val="22"/>
    </w:rPr>
  </w:style>
  <w:style w:type="paragraph" w:styleId="Heading4">
    <w:name w:val="heading 4"/>
    <w:basedOn w:val="Normal"/>
    <w:next w:val="Normal"/>
    <w:link w:val="Heading4Char"/>
    <w:uiPriority w:val="9"/>
    <w:unhideWhenUsed/>
    <w:qFormat/>
    <w:rsid w:val="00185541"/>
    <w:pPr>
      <w:keepNext/>
      <w:keepLines/>
      <w:numPr>
        <w:ilvl w:val="3"/>
        <w:numId w:val="18"/>
      </w:numPr>
      <w:spacing w:before="40"/>
      <w:outlineLvl w:val="3"/>
    </w:pPr>
    <w:rPr>
      <w:rFonts w:ascii="Calibri" w:eastAsia="Times New Roman" w:hAnsi="Calibri" w:cs="Times New Roman"/>
      <w:b/>
      <w:bCs/>
      <w:i/>
      <w:iCs/>
      <w:color w:val="B2B2B2"/>
      <w:szCs w:val="20"/>
    </w:rPr>
  </w:style>
  <w:style w:type="paragraph" w:styleId="Heading5">
    <w:name w:val="heading 5"/>
    <w:basedOn w:val="Normal"/>
    <w:next w:val="Normal"/>
    <w:link w:val="Heading5Char"/>
    <w:semiHidden/>
    <w:unhideWhenUsed/>
    <w:rsid w:val="00185541"/>
    <w:pPr>
      <w:keepNext/>
      <w:keepLines/>
      <w:numPr>
        <w:ilvl w:val="4"/>
        <w:numId w:val="18"/>
      </w:numPr>
      <w:spacing w:before="40"/>
      <w:outlineLvl w:val="4"/>
    </w:pPr>
    <w:rPr>
      <w:rFonts w:ascii="Arial" w:eastAsia="Times New Roman" w:hAnsi="Arial" w:cs="Times New Roman"/>
      <w:b/>
      <w:iCs/>
      <w:caps/>
      <w:sz w:val="30"/>
      <w:szCs w:val="20"/>
    </w:rPr>
  </w:style>
  <w:style w:type="paragraph" w:styleId="Heading6">
    <w:name w:val="heading 6"/>
    <w:basedOn w:val="Normal"/>
    <w:next w:val="Normal"/>
    <w:link w:val="Heading6Char"/>
    <w:uiPriority w:val="9"/>
    <w:semiHidden/>
    <w:unhideWhenUsed/>
    <w:qFormat/>
    <w:rsid w:val="001F5AF9"/>
    <w:pPr>
      <w:keepNext/>
      <w:keepLines/>
      <w:numPr>
        <w:ilvl w:val="5"/>
        <w:numId w:val="1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185541"/>
    <w:pPr>
      <w:keepNext/>
      <w:keepLines/>
      <w:numPr>
        <w:ilvl w:val="6"/>
        <w:numId w:val="18"/>
      </w:numPr>
      <w:spacing w:before="40"/>
      <w:outlineLvl w:val="6"/>
    </w:pPr>
    <w:rPr>
      <w:rFonts w:ascii="Arial" w:eastAsia="Times New Roman" w:hAnsi="Arial" w:cs="Times New Roman"/>
      <w:i/>
      <w:iCs/>
    </w:rPr>
  </w:style>
  <w:style w:type="paragraph" w:styleId="Heading8">
    <w:name w:val="heading 8"/>
    <w:basedOn w:val="Normal"/>
    <w:next w:val="Normal"/>
    <w:link w:val="Heading8Char"/>
    <w:semiHidden/>
    <w:unhideWhenUsed/>
    <w:qFormat/>
    <w:rsid w:val="00185541"/>
    <w:pPr>
      <w:keepNext/>
      <w:keepLines/>
      <w:numPr>
        <w:ilvl w:val="7"/>
        <w:numId w:val="18"/>
      </w:numPr>
      <w:spacing w:before="40"/>
      <w:outlineLvl w:val="7"/>
    </w:pPr>
    <w:rPr>
      <w:rFonts w:ascii="Arial" w:eastAsia="Times New Roman" w:hAnsi="Arial" w:cs="Times New Roman"/>
      <w:u w:val="single"/>
    </w:rPr>
  </w:style>
  <w:style w:type="paragraph" w:styleId="Heading9">
    <w:name w:val="heading 9"/>
    <w:basedOn w:val="Normal"/>
    <w:next w:val="Normal"/>
    <w:link w:val="Heading9Char"/>
    <w:uiPriority w:val="9"/>
    <w:semiHidden/>
    <w:unhideWhenUsed/>
    <w:qFormat/>
    <w:rsid w:val="001F5AF9"/>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Bullets,List Paragraph1,References,ReferencesCxSpLast,123 List Paragraph,Dot pt,List Paragraph (numbered (a)),FooterText,Bullet List,numbered,Paragraphe de liste1,Bulletr List Paragraph,列出段落,列出段落1,Listeafsnit1,表格1"/>
    <w:basedOn w:val="Normal"/>
    <w:link w:val="ListParagraphChar"/>
    <w:uiPriority w:val="34"/>
    <w:qFormat/>
    <w:rsid w:val="00DA7DEF"/>
    <w:pPr>
      <w:ind w:left="720"/>
      <w:contextualSpacing/>
    </w:pPr>
  </w:style>
  <w:style w:type="character" w:styleId="Hyperlink">
    <w:name w:val="Hyperlink"/>
    <w:basedOn w:val="DefaultParagraphFont"/>
    <w:uiPriority w:val="99"/>
    <w:unhideWhenUsed/>
    <w:rsid w:val="00211847"/>
    <w:rPr>
      <w:color w:val="0000FF" w:themeColor="hyperlink"/>
      <w:u w:val="single"/>
    </w:rPr>
  </w:style>
  <w:style w:type="paragraph" w:styleId="CommentText">
    <w:name w:val="annotation text"/>
    <w:basedOn w:val="Normal"/>
    <w:link w:val="CommentTextChar"/>
    <w:uiPriority w:val="99"/>
    <w:unhideWhenUsed/>
    <w:rsid w:val="00E1320A"/>
    <w:rPr>
      <w:szCs w:val="20"/>
    </w:rPr>
  </w:style>
  <w:style w:type="character" w:customStyle="1" w:styleId="CommentTextChar">
    <w:name w:val="Comment Text Char"/>
    <w:basedOn w:val="DefaultParagraphFont"/>
    <w:link w:val="CommentText"/>
    <w:uiPriority w:val="99"/>
    <w:rsid w:val="00E1320A"/>
    <w:rPr>
      <w:sz w:val="20"/>
      <w:szCs w:val="20"/>
    </w:rPr>
  </w:style>
  <w:style w:type="character" w:styleId="CommentReference">
    <w:name w:val="annotation reference"/>
    <w:basedOn w:val="DefaultParagraphFont"/>
    <w:uiPriority w:val="99"/>
    <w:semiHidden/>
    <w:unhideWhenUsed/>
    <w:rsid w:val="00E1320A"/>
    <w:rPr>
      <w:sz w:val="16"/>
      <w:szCs w:val="16"/>
    </w:rPr>
  </w:style>
  <w:style w:type="paragraph" w:styleId="BalloonText">
    <w:name w:val="Balloon Text"/>
    <w:basedOn w:val="Normal"/>
    <w:link w:val="BalloonTextChar"/>
    <w:uiPriority w:val="99"/>
    <w:semiHidden/>
    <w:unhideWhenUsed/>
    <w:rsid w:val="00E1320A"/>
    <w:rPr>
      <w:rFonts w:ascii="Tahoma" w:hAnsi="Tahoma" w:cs="Tahoma"/>
      <w:sz w:val="16"/>
      <w:szCs w:val="16"/>
    </w:rPr>
  </w:style>
  <w:style w:type="character" w:customStyle="1" w:styleId="BalloonTextChar">
    <w:name w:val="Balloon Text Char"/>
    <w:basedOn w:val="DefaultParagraphFont"/>
    <w:link w:val="BalloonText"/>
    <w:uiPriority w:val="99"/>
    <w:semiHidden/>
    <w:rsid w:val="00E1320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D6D62"/>
    <w:rPr>
      <w:b/>
      <w:bCs/>
    </w:rPr>
  </w:style>
  <w:style w:type="character" w:customStyle="1" w:styleId="CommentSubjectChar">
    <w:name w:val="Comment Subject Char"/>
    <w:basedOn w:val="CommentTextChar"/>
    <w:link w:val="CommentSubject"/>
    <w:uiPriority w:val="99"/>
    <w:semiHidden/>
    <w:rsid w:val="00ED6D62"/>
    <w:rPr>
      <w:b/>
      <w:bCs/>
      <w:sz w:val="20"/>
      <w:szCs w:val="20"/>
    </w:rPr>
  </w:style>
  <w:style w:type="table" w:styleId="TableGrid">
    <w:name w:val="Table Grid"/>
    <w:basedOn w:val="TableNormal"/>
    <w:uiPriority w:val="59"/>
    <w:rsid w:val="00ED6D62"/>
    <w:pPr>
      <w:spacing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AE0"/>
    <w:pPr>
      <w:tabs>
        <w:tab w:val="center" w:pos="4536"/>
        <w:tab w:val="right" w:pos="9072"/>
      </w:tabs>
    </w:pPr>
  </w:style>
  <w:style w:type="character" w:customStyle="1" w:styleId="HeaderChar">
    <w:name w:val="Header Char"/>
    <w:basedOn w:val="DefaultParagraphFont"/>
    <w:link w:val="Header"/>
    <w:uiPriority w:val="99"/>
    <w:rsid w:val="008C0AE0"/>
  </w:style>
  <w:style w:type="paragraph" w:styleId="Footer">
    <w:name w:val="footer"/>
    <w:basedOn w:val="Normal"/>
    <w:link w:val="FooterChar"/>
    <w:uiPriority w:val="99"/>
    <w:unhideWhenUsed/>
    <w:rsid w:val="008C0AE0"/>
    <w:pPr>
      <w:tabs>
        <w:tab w:val="center" w:pos="4536"/>
        <w:tab w:val="right" w:pos="9072"/>
      </w:tabs>
    </w:pPr>
  </w:style>
  <w:style w:type="character" w:customStyle="1" w:styleId="FooterChar">
    <w:name w:val="Footer Char"/>
    <w:basedOn w:val="DefaultParagraphFont"/>
    <w:link w:val="Footer"/>
    <w:uiPriority w:val="99"/>
    <w:rsid w:val="008C0AE0"/>
  </w:style>
  <w:style w:type="paragraph" w:styleId="Revision">
    <w:name w:val="Revision"/>
    <w:hidden/>
    <w:uiPriority w:val="99"/>
    <w:semiHidden/>
    <w:rsid w:val="00CE65D4"/>
    <w:pPr>
      <w:spacing w:line="240" w:lineRule="auto"/>
    </w:pPr>
  </w:style>
  <w:style w:type="paragraph" w:customStyle="1" w:styleId="BodyA">
    <w:name w:val="Body A"/>
    <w:rsid w:val="00A77DD1"/>
    <w:pPr>
      <w:spacing w:after="120" w:line="240" w:lineRule="auto"/>
    </w:pPr>
    <w:rPr>
      <w:rFonts w:ascii="Trebuchet MS" w:eastAsia="Arial Unicode MS" w:hAnsi="Arial Unicode MS" w:cs="Arial Unicode MS"/>
      <w:color w:val="000000"/>
      <w:sz w:val="20"/>
      <w:szCs w:val="20"/>
      <w:u w:color="000000"/>
      <w:lang w:val="it-IT"/>
    </w:rPr>
  </w:style>
  <w:style w:type="paragraph" w:styleId="NormalWeb">
    <w:name w:val="Normal (Web)"/>
    <w:basedOn w:val="Normal"/>
    <w:uiPriority w:val="99"/>
    <w:unhideWhenUsed/>
    <w:rsid w:val="007A3BCB"/>
    <w:pPr>
      <w:spacing w:before="100" w:beforeAutospacing="1" w:after="100" w:afterAutospacing="1"/>
    </w:pPr>
    <w:rPr>
      <w:rFonts w:ascii="Times New Roman" w:eastAsiaTheme="minorEastAsia" w:hAnsi="Times New Roman" w:cs="Times New Roman"/>
      <w:sz w:val="24"/>
      <w:szCs w:val="24"/>
      <w:lang w:val="it-IT" w:eastAsia="it-IT"/>
    </w:rPr>
  </w:style>
  <w:style w:type="paragraph" w:customStyle="1" w:styleId="Title2">
    <w:name w:val="Title 2"/>
    <w:basedOn w:val="Normal"/>
    <w:next w:val="Normal"/>
    <w:rsid w:val="00ED321B"/>
    <w:pPr>
      <w:spacing w:before="360" w:after="160" w:line="259" w:lineRule="auto"/>
    </w:pPr>
    <w:rPr>
      <w:rFonts w:cstheme="minorHAnsi"/>
      <w:b/>
      <w:color w:val="365F91" w:themeColor="accent1" w:themeShade="BF"/>
      <w:sz w:val="32"/>
      <w:szCs w:val="20"/>
    </w:rPr>
  </w:style>
  <w:style w:type="paragraph" w:customStyle="1" w:styleId="Title3">
    <w:name w:val="Title 3"/>
    <w:basedOn w:val="Heading2"/>
    <w:next w:val="Normal"/>
    <w:unhideWhenUsed/>
    <w:rsid w:val="0042751A"/>
    <w:rPr>
      <w:b/>
      <w:bCs/>
    </w:rPr>
  </w:style>
  <w:style w:type="paragraph" w:customStyle="1" w:styleId="Titolo31">
    <w:name w:val="Titolo 31"/>
    <w:basedOn w:val="Normal"/>
    <w:next w:val="Normal"/>
    <w:unhideWhenUsed/>
    <w:rsid w:val="00185541"/>
    <w:pPr>
      <w:keepNext/>
      <w:keepLines/>
      <w:spacing w:before="200"/>
      <w:outlineLvl w:val="2"/>
    </w:pPr>
    <w:rPr>
      <w:rFonts w:ascii="Calibri" w:eastAsia="Times New Roman" w:hAnsi="Calibri" w:cs="Times New Roman"/>
      <w:b/>
      <w:bCs/>
      <w:color w:val="A6A6A6"/>
      <w:szCs w:val="20"/>
      <w:lang w:val="en-US" w:eastAsia="fr-FR"/>
    </w:rPr>
  </w:style>
  <w:style w:type="paragraph" w:customStyle="1" w:styleId="Titolo41">
    <w:name w:val="Titolo 41"/>
    <w:basedOn w:val="Normal"/>
    <w:next w:val="Normal"/>
    <w:unhideWhenUsed/>
    <w:rsid w:val="00185541"/>
    <w:pPr>
      <w:keepNext/>
      <w:keepLines/>
      <w:spacing w:before="200"/>
      <w:outlineLvl w:val="3"/>
    </w:pPr>
    <w:rPr>
      <w:rFonts w:ascii="Calibri" w:eastAsia="Times New Roman" w:hAnsi="Calibri" w:cs="Times New Roman"/>
      <w:b/>
      <w:bCs/>
      <w:i/>
      <w:iCs/>
      <w:color w:val="B2B2B2"/>
      <w:szCs w:val="20"/>
      <w:lang w:eastAsia="fr-FR"/>
    </w:rPr>
  </w:style>
  <w:style w:type="paragraph" w:customStyle="1" w:styleId="Titolo51">
    <w:name w:val="Titolo 51"/>
    <w:next w:val="Normal"/>
    <w:autoRedefine/>
    <w:rsid w:val="00185541"/>
    <w:pPr>
      <w:pageBreakBefore/>
      <w:pBdr>
        <w:bottom w:val="single" w:sz="18" w:space="1" w:color="auto"/>
      </w:pBdr>
      <w:shd w:val="clear" w:color="auto" w:fill="B3B3B3"/>
      <w:tabs>
        <w:tab w:val="left" w:pos="1260"/>
        <w:tab w:val="num" w:pos="1800"/>
      </w:tabs>
      <w:spacing w:after="240" w:line="240" w:lineRule="auto"/>
      <w:ind w:left="1009" w:hanging="1009"/>
      <w:jc w:val="center"/>
      <w:outlineLvl w:val="4"/>
    </w:pPr>
    <w:rPr>
      <w:rFonts w:ascii="Arial" w:eastAsia="Times New Roman" w:hAnsi="Arial" w:cs="Times New Roman"/>
      <w:b/>
      <w:iCs/>
      <w:caps/>
      <w:sz w:val="30"/>
      <w:szCs w:val="20"/>
      <w:lang w:val="fr-FR" w:eastAsia="fr-FR"/>
    </w:rPr>
  </w:style>
  <w:style w:type="paragraph" w:customStyle="1" w:styleId="Titolo71">
    <w:name w:val="Titolo 71"/>
    <w:basedOn w:val="Normal"/>
    <w:next w:val="Normal"/>
    <w:rsid w:val="00185541"/>
    <w:pPr>
      <w:keepNext/>
      <w:tabs>
        <w:tab w:val="num" w:pos="576"/>
      </w:tabs>
      <w:spacing w:after="240"/>
      <w:ind w:left="576" w:hanging="1296"/>
      <w:outlineLvl w:val="6"/>
    </w:pPr>
    <w:rPr>
      <w:rFonts w:ascii="Arial" w:eastAsia="Times New Roman" w:hAnsi="Arial" w:cs="Times New Roman"/>
      <w:i/>
      <w:iCs/>
      <w:sz w:val="24"/>
      <w:szCs w:val="24"/>
      <w:lang w:val="fr-FR" w:eastAsia="fr-FR"/>
    </w:rPr>
  </w:style>
  <w:style w:type="paragraph" w:customStyle="1" w:styleId="Titolo81">
    <w:name w:val="Titolo 81"/>
    <w:basedOn w:val="Normal"/>
    <w:next w:val="Normal"/>
    <w:rsid w:val="00185541"/>
    <w:pPr>
      <w:keepNext/>
      <w:tabs>
        <w:tab w:val="num" w:pos="720"/>
      </w:tabs>
      <w:ind w:left="720" w:hanging="1440"/>
      <w:outlineLvl w:val="7"/>
    </w:pPr>
    <w:rPr>
      <w:rFonts w:ascii="Arial" w:eastAsia="Times New Roman" w:hAnsi="Arial" w:cs="Times New Roman"/>
      <w:sz w:val="24"/>
      <w:szCs w:val="24"/>
      <w:u w:val="single"/>
      <w:lang w:val="fr-FR" w:eastAsia="fr-FR"/>
    </w:rPr>
  </w:style>
  <w:style w:type="numbering" w:customStyle="1" w:styleId="Nessunelenco1">
    <w:name w:val="Nessun elenco1"/>
    <w:next w:val="NoList"/>
    <w:uiPriority w:val="99"/>
    <w:semiHidden/>
    <w:unhideWhenUsed/>
    <w:rsid w:val="00185541"/>
  </w:style>
  <w:style w:type="character" w:customStyle="1" w:styleId="Heading1Char">
    <w:name w:val="Heading 1 Char"/>
    <w:basedOn w:val="DefaultParagraphFont"/>
    <w:link w:val="Heading1"/>
    <w:uiPriority w:val="9"/>
    <w:rsid w:val="005C77BD"/>
    <w:rPr>
      <w:rFonts w:cstheme="minorHAnsi"/>
      <w:b/>
      <w:color w:val="365F91" w:themeColor="accent1" w:themeShade="BF"/>
      <w:sz w:val="32"/>
      <w:szCs w:val="20"/>
    </w:rPr>
  </w:style>
  <w:style w:type="character" w:customStyle="1" w:styleId="Heading2Char">
    <w:name w:val="Heading 2 Char"/>
    <w:basedOn w:val="DefaultParagraphFont"/>
    <w:link w:val="Heading2"/>
    <w:uiPriority w:val="9"/>
    <w:rsid w:val="005C77BD"/>
    <w:rPr>
      <w:rFonts w:eastAsiaTheme="majorEastAsia" w:cstheme="minorHAnsi"/>
      <w:color w:val="365F91" w:themeColor="accent1" w:themeShade="BF"/>
      <w:sz w:val="26"/>
      <w:szCs w:val="26"/>
      <w:lang w:eastAsia="fr-FR"/>
    </w:rPr>
  </w:style>
  <w:style w:type="character" w:customStyle="1" w:styleId="Heading3Char">
    <w:name w:val="Heading 3 Char"/>
    <w:basedOn w:val="DefaultParagraphFont"/>
    <w:link w:val="Heading3"/>
    <w:uiPriority w:val="9"/>
    <w:rsid w:val="001F5AF9"/>
    <w:rPr>
      <w:rFonts w:eastAsiaTheme="majorEastAsia" w:cstheme="minorHAnsi"/>
      <w:i/>
      <w:iCs/>
      <w:color w:val="365F91" w:themeColor="accent1" w:themeShade="BF"/>
      <w:lang w:eastAsia="fr-FR"/>
    </w:rPr>
  </w:style>
  <w:style w:type="character" w:customStyle="1" w:styleId="Heading4Char">
    <w:name w:val="Heading 4 Char"/>
    <w:basedOn w:val="DefaultParagraphFont"/>
    <w:link w:val="Heading4"/>
    <w:uiPriority w:val="9"/>
    <w:rsid w:val="00185541"/>
    <w:rPr>
      <w:rFonts w:ascii="Calibri" w:eastAsia="Times New Roman" w:hAnsi="Calibri" w:cs="Times New Roman"/>
      <w:b/>
      <w:bCs/>
      <w:i/>
      <w:iCs/>
      <w:color w:val="B2B2B2"/>
      <w:sz w:val="20"/>
      <w:szCs w:val="20"/>
    </w:rPr>
  </w:style>
  <w:style w:type="character" w:customStyle="1" w:styleId="Heading5Char">
    <w:name w:val="Heading 5 Char"/>
    <w:basedOn w:val="DefaultParagraphFont"/>
    <w:link w:val="Heading5"/>
    <w:semiHidden/>
    <w:rsid w:val="00185541"/>
    <w:rPr>
      <w:rFonts w:ascii="Arial" w:eastAsia="Times New Roman" w:hAnsi="Arial" w:cs="Times New Roman"/>
      <w:b/>
      <w:iCs/>
      <w:caps/>
      <w:sz w:val="30"/>
      <w:szCs w:val="20"/>
    </w:rPr>
  </w:style>
  <w:style w:type="character" w:customStyle="1" w:styleId="Heading7Char">
    <w:name w:val="Heading 7 Char"/>
    <w:basedOn w:val="DefaultParagraphFont"/>
    <w:link w:val="Heading7"/>
    <w:semiHidden/>
    <w:rsid w:val="00185541"/>
    <w:rPr>
      <w:rFonts w:ascii="Arial" w:eastAsia="Times New Roman" w:hAnsi="Arial" w:cs="Times New Roman"/>
      <w:i/>
      <w:iCs/>
      <w:sz w:val="20"/>
    </w:rPr>
  </w:style>
  <w:style w:type="character" w:customStyle="1" w:styleId="Heading8Char">
    <w:name w:val="Heading 8 Char"/>
    <w:basedOn w:val="DefaultParagraphFont"/>
    <w:link w:val="Heading8"/>
    <w:semiHidden/>
    <w:rsid w:val="00185541"/>
    <w:rPr>
      <w:rFonts w:ascii="Arial" w:eastAsia="Times New Roman" w:hAnsi="Arial" w:cs="Times New Roman"/>
      <w:sz w:val="20"/>
      <w:u w:val="single"/>
    </w:rPr>
  </w:style>
  <w:style w:type="table" w:customStyle="1" w:styleId="Grigliatabella1">
    <w:name w:val="Griglia tabella1"/>
    <w:basedOn w:val="TableNormal"/>
    <w:next w:val="TableGrid"/>
    <w:uiPriority w:val="59"/>
    <w:rsid w:val="00185541"/>
    <w:pPr>
      <w:spacing w:line="240" w:lineRule="auto"/>
    </w:pPr>
    <w:rPr>
      <w:rFonts w:eastAsia="Times New Roman"/>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sommario1">
    <w:name w:val="Titolo sommario1"/>
    <w:basedOn w:val="Heading1"/>
    <w:next w:val="Normal"/>
    <w:uiPriority w:val="39"/>
    <w:unhideWhenUsed/>
    <w:qFormat/>
    <w:rsid w:val="00185541"/>
  </w:style>
  <w:style w:type="paragraph" w:customStyle="1" w:styleId="Sommario11">
    <w:name w:val="Sommario 11"/>
    <w:basedOn w:val="Normal"/>
    <w:next w:val="Normal"/>
    <w:autoRedefine/>
    <w:uiPriority w:val="39"/>
    <w:unhideWhenUsed/>
    <w:rsid w:val="00185541"/>
    <w:pPr>
      <w:spacing w:after="100"/>
    </w:pPr>
    <w:rPr>
      <w:rFonts w:ascii="Calibri" w:eastAsia="Times New Roman" w:hAnsi="Calibri"/>
      <w:szCs w:val="20"/>
      <w:lang w:eastAsia="fr-FR"/>
    </w:rPr>
  </w:style>
  <w:style w:type="paragraph" w:customStyle="1" w:styleId="Sommario21">
    <w:name w:val="Sommario 21"/>
    <w:basedOn w:val="Normal"/>
    <w:next w:val="Normal"/>
    <w:autoRedefine/>
    <w:uiPriority w:val="39"/>
    <w:unhideWhenUsed/>
    <w:rsid w:val="00185541"/>
    <w:pPr>
      <w:spacing w:after="100"/>
      <w:ind w:left="240"/>
    </w:pPr>
    <w:rPr>
      <w:rFonts w:ascii="Calibri" w:eastAsia="Times New Roman" w:hAnsi="Calibri"/>
      <w:szCs w:val="20"/>
      <w:lang w:eastAsia="fr-FR"/>
    </w:rPr>
  </w:style>
  <w:style w:type="paragraph" w:customStyle="1" w:styleId="Sommario31">
    <w:name w:val="Sommario 31"/>
    <w:basedOn w:val="Normal"/>
    <w:next w:val="Normal"/>
    <w:autoRedefine/>
    <w:uiPriority w:val="39"/>
    <w:unhideWhenUsed/>
    <w:rsid w:val="00185541"/>
    <w:pPr>
      <w:spacing w:after="100"/>
      <w:ind w:left="480"/>
    </w:pPr>
    <w:rPr>
      <w:rFonts w:ascii="Calibri" w:eastAsia="Times New Roman" w:hAnsi="Calibri"/>
      <w:szCs w:val="20"/>
      <w:lang w:eastAsia="fr-FR"/>
    </w:rPr>
  </w:style>
  <w:style w:type="table" w:customStyle="1" w:styleId="Sfondochiaro-Colore31">
    <w:name w:val="Sfondo chiaro - Colore 31"/>
    <w:basedOn w:val="TableNormal"/>
    <w:next w:val="LightShading-Accent3"/>
    <w:uiPriority w:val="60"/>
    <w:rsid w:val="00185541"/>
    <w:pPr>
      <w:spacing w:line="240" w:lineRule="auto"/>
    </w:pPr>
    <w:rPr>
      <w:rFonts w:eastAsia="Times New Roman"/>
      <w:color w:val="707070"/>
      <w:sz w:val="24"/>
      <w:szCs w:val="24"/>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Elencochiaro-Colore41">
    <w:name w:val="Elenco chiaro - Colore 41"/>
    <w:basedOn w:val="TableNormal"/>
    <w:next w:val="LightList-Accent4"/>
    <w:uiPriority w:val="61"/>
    <w:rsid w:val="00185541"/>
    <w:pPr>
      <w:spacing w:line="240" w:lineRule="auto"/>
    </w:pPr>
    <w:rPr>
      <w:rFonts w:eastAsia="Times New Roman"/>
      <w:sz w:val="24"/>
      <w:szCs w:val="24"/>
      <w:lang w:val="fr-FR" w:eastAsia="fr-FR"/>
    </w:rPr>
    <w:tblPr>
      <w:tblStyleRowBandSize w:val="1"/>
      <w:tblStyleColBandSize w:val="1"/>
      <w:tblBorders>
        <w:top w:val="single" w:sz="8" w:space="0" w:color="808080"/>
        <w:left w:val="single" w:sz="8" w:space="0" w:color="808080"/>
        <w:bottom w:val="single" w:sz="8" w:space="0" w:color="808080"/>
        <w:right w:val="single" w:sz="8" w:space="0" w:color="808080"/>
      </w:tblBorders>
    </w:tblPr>
    <w:tblStylePr w:type="firstRow">
      <w:pPr>
        <w:spacing w:before="0" w:after="0" w:line="240" w:lineRule="auto"/>
      </w:pPr>
      <w:rPr>
        <w:b/>
        <w:bCs/>
        <w:color w:val="FFFFFF"/>
      </w:rPr>
      <w:tblPr/>
      <w:tcPr>
        <w:shd w:val="clear" w:color="auto" w:fill="808080"/>
      </w:tcPr>
    </w:tblStylePr>
    <w:tblStylePr w:type="lastRow">
      <w:pPr>
        <w:spacing w:before="0" w:after="0" w:line="240" w:lineRule="auto"/>
      </w:pPr>
      <w:rPr>
        <w:b/>
        <w:bCs/>
      </w:rPr>
      <w:tblPr/>
      <w:tcPr>
        <w:tcBorders>
          <w:top w:val="double" w:sz="6" w:space="0" w:color="808080"/>
          <w:left w:val="single" w:sz="8" w:space="0" w:color="808080"/>
          <w:bottom w:val="single" w:sz="8" w:space="0" w:color="808080"/>
          <w:right w:val="single" w:sz="8" w:space="0" w:color="808080"/>
        </w:tcBorders>
      </w:tcPr>
    </w:tblStylePr>
    <w:tblStylePr w:type="firstCol">
      <w:rPr>
        <w:b/>
        <w:bCs/>
      </w:rPr>
    </w:tblStylePr>
    <w:tblStylePr w:type="lastCol">
      <w:rPr>
        <w:b/>
        <w:bCs/>
      </w:rPr>
    </w:tblStylePr>
    <w:tblStylePr w:type="band1Vert">
      <w:tblPr/>
      <w:tcPr>
        <w:tcBorders>
          <w:top w:val="single" w:sz="8" w:space="0" w:color="808080"/>
          <w:left w:val="single" w:sz="8" w:space="0" w:color="808080"/>
          <w:bottom w:val="single" w:sz="8" w:space="0" w:color="808080"/>
          <w:right w:val="single" w:sz="8" w:space="0" w:color="808080"/>
        </w:tcBorders>
      </w:tcPr>
    </w:tblStylePr>
    <w:tblStylePr w:type="band1Horz">
      <w:tblPr/>
      <w:tcPr>
        <w:tcBorders>
          <w:top w:val="single" w:sz="8" w:space="0" w:color="808080"/>
          <w:left w:val="single" w:sz="8" w:space="0" w:color="808080"/>
          <w:bottom w:val="single" w:sz="8" w:space="0" w:color="808080"/>
          <w:right w:val="single" w:sz="8" w:space="0" w:color="808080"/>
        </w:tcBorders>
      </w:tcPr>
    </w:tblStylePr>
  </w:style>
  <w:style w:type="table" w:customStyle="1" w:styleId="Sfondochiaro-Colore21">
    <w:name w:val="Sfondo chiaro - Colore 21"/>
    <w:basedOn w:val="TableNormal"/>
    <w:next w:val="LightShading-Accent2"/>
    <w:uiPriority w:val="60"/>
    <w:rsid w:val="00185541"/>
    <w:pPr>
      <w:spacing w:line="240" w:lineRule="auto"/>
    </w:pPr>
    <w:rPr>
      <w:rFonts w:eastAsia="Times New Roman"/>
      <w:color w:val="858585"/>
      <w:sz w:val="24"/>
      <w:szCs w:val="24"/>
      <w:lang w:val="fr-FR" w:eastAsia="fr-FR"/>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cPr>
    </w:tblStylePr>
    <w:tblStylePr w:type="band1Horz">
      <w:tblPr/>
      <w:tcPr>
        <w:tcBorders>
          <w:left w:val="nil"/>
          <w:right w:val="nil"/>
          <w:insideH w:val="nil"/>
          <w:insideV w:val="nil"/>
        </w:tcBorders>
        <w:shd w:val="clear" w:color="auto" w:fill="EBEBEB"/>
      </w:tcPr>
    </w:tblStylePr>
  </w:style>
  <w:style w:type="paragraph" w:customStyle="1" w:styleId="Didascalia1">
    <w:name w:val="Didascalia1"/>
    <w:basedOn w:val="Normal"/>
    <w:next w:val="Normal"/>
    <w:uiPriority w:val="35"/>
    <w:unhideWhenUsed/>
    <w:qFormat/>
    <w:rsid w:val="00185541"/>
    <w:pPr>
      <w:spacing w:after="200"/>
    </w:pPr>
    <w:rPr>
      <w:rFonts w:ascii="Calibri" w:eastAsia="Times New Roman" w:hAnsi="Calibri"/>
      <w:b/>
      <w:bCs/>
      <w:color w:val="DDDDDD"/>
      <w:szCs w:val="20"/>
      <w:lang w:eastAsia="fr-FR"/>
    </w:rPr>
  </w:style>
  <w:style w:type="table" w:customStyle="1" w:styleId="Ombrageclair1">
    <w:name w:val="Ombrage clair1"/>
    <w:basedOn w:val="TableNormal"/>
    <w:uiPriority w:val="60"/>
    <w:rsid w:val="00185541"/>
    <w:pPr>
      <w:spacing w:line="240" w:lineRule="auto"/>
    </w:pPr>
    <w:rPr>
      <w:rFonts w:eastAsia="Times New Roman"/>
      <w:color w:val="000000"/>
      <w:sz w:val="24"/>
      <w:szCs w:val="24"/>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41">
    <w:name w:val="Sfondo chiaro - Colore 41"/>
    <w:basedOn w:val="TableNormal"/>
    <w:next w:val="LightShading-Accent4"/>
    <w:uiPriority w:val="60"/>
    <w:rsid w:val="00185541"/>
    <w:pPr>
      <w:spacing w:line="240" w:lineRule="auto"/>
    </w:pPr>
    <w:rPr>
      <w:rFonts w:eastAsia="Times New Roman"/>
      <w:color w:val="5F5F5F"/>
      <w:sz w:val="24"/>
      <w:szCs w:val="24"/>
      <w:lang w:val="fr-FR" w:eastAsia="fr-FR"/>
    </w:rPr>
    <w:tblPr>
      <w:tblStyleRowBandSize w:val="1"/>
      <w:tblStyleColBandSize w:val="1"/>
      <w:tblBorders>
        <w:top w:val="single" w:sz="8" w:space="0" w:color="808080"/>
        <w:bottom w:val="single" w:sz="8" w:space="0" w:color="808080"/>
      </w:tblBorders>
    </w:tblPr>
    <w:tblStylePr w:type="fir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la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customStyle="1" w:styleId="Trameclaire-Accent11">
    <w:name w:val="Trame claire - Accent 11"/>
    <w:basedOn w:val="TableNormal"/>
    <w:uiPriority w:val="60"/>
    <w:rsid w:val="00185541"/>
    <w:pPr>
      <w:spacing w:line="240" w:lineRule="auto"/>
    </w:pPr>
    <w:rPr>
      <w:rFonts w:eastAsia="Times New Roman"/>
      <w:color w:val="A5A5A5"/>
      <w:sz w:val="24"/>
      <w:szCs w:val="24"/>
      <w:lang w:val="fr-FR" w:eastAsia="fr-FR"/>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paragraph" w:customStyle="1" w:styleId="Testonotaapidipagina1">
    <w:name w:val="Testo nota a piè di pagina1"/>
    <w:basedOn w:val="Normal"/>
    <w:next w:val="FootnoteText"/>
    <w:link w:val="TestonotaapidipaginaCarattere"/>
    <w:uiPriority w:val="99"/>
    <w:unhideWhenUsed/>
    <w:rsid w:val="00185541"/>
    <w:rPr>
      <w:lang w:val="en-US"/>
    </w:rPr>
  </w:style>
  <w:style w:type="character" w:customStyle="1" w:styleId="TestonotaapidipaginaCarattere">
    <w:name w:val="Testo nota a piè di pagina Carattere"/>
    <w:basedOn w:val="DefaultParagraphFont"/>
    <w:link w:val="Testonotaapidipagina1"/>
    <w:uiPriority w:val="99"/>
    <w:rsid w:val="00185541"/>
    <w:rPr>
      <w:lang w:val="en-US" w:eastAsia="en-US"/>
    </w:rPr>
  </w:style>
  <w:style w:type="character" w:styleId="FootnoteReference">
    <w:name w:val="footnote reference"/>
    <w:basedOn w:val="DefaultParagraphFont"/>
    <w:uiPriority w:val="99"/>
    <w:unhideWhenUsed/>
    <w:rsid w:val="00185541"/>
    <w:rPr>
      <w:vertAlign w:val="superscript"/>
    </w:rPr>
  </w:style>
  <w:style w:type="table" w:customStyle="1" w:styleId="Grigliamedia3-Colore11">
    <w:name w:val="Griglia media 3 - Colore 11"/>
    <w:basedOn w:val="TableNormal"/>
    <w:next w:val="MediumGrid3-Accent1"/>
    <w:uiPriority w:val="69"/>
    <w:rsid w:val="00185541"/>
    <w:pPr>
      <w:spacing w:line="240" w:lineRule="auto"/>
    </w:pPr>
    <w:rPr>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6F6F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DDDD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DDDD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DDDD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DDDD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EEEE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EEEEE"/>
      </w:tcPr>
    </w:tblStylePr>
  </w:style>
  <w:style w:type="paragraph" w:customStyle="1" w:styleId="Titolo1">
    <w:name w:val="Titolo1"/>
    <w:basedOn w:val="Normal"/>
    <w:next w:val="Normal"/>
    <w:uiPriority w:val="10"/>
    <w:qFormat/>
    <w:rsid w:val="00185541"/>
    <w:pPr>
      <w:pBdr>
        <w:bottom w:val="single" w:sz="8" w:space="4" w:color="DDDDDD"/>
      </w:pBdr>
      <w:spacing w:after="300"/>
      <w:contextualSpacing/>
    </w:pPr>
    <w:rPr>
      <w:rFonts w:ascii="Calibri" w:eastAsia="Times New Roman" w:hAnsi="Calibri" w:cs="Times New Roman"/>
      <w:color w:val="000000"/>
      <w:spacing w:val="5"/>
      <w:kern w:val="28"/>
      <w:sz w:val="52"/>
      <w:szCs w:val="52"/>
      <w:lang w:eastAsia="fr-FR"/>
    </w:rPr>
  </w:style>
  <w:style w:type="character" w:customStyle="1" w:styleId="TitleChar">
    <w:name w:val="Title Char"/>
    <w:basedOn w:val="DefaultParagraphFont"/>
    <w:link w:val="Title"/>
    <w:uiPriority w:val="10"/>
    <w:rsid w:val="00185541"/>
    <w:rPr>
      <w:rFonts w:ascii="Calibri" w:eastAsia="Times New Roman" w:hAnsi="Calibri" w:cs="Times New Roman"/>
      <w:color w:val="000000"/>
      <w:spacing w:val="5"/>
      <w:kern w:val="28"/>
      <w:sz w:val="52"/>
      <w:szCs w:val="52"/>
      <w:lang w:val="en-GB"/>
    </w:rPr>
  </w:style>
  <w:style w:type="character" w:customStyle="1" w:styleId="A10">
    <w:name w:val="A10"/>
    <w:uiPriority w:val="99"/>
    <w:rsid w:val="00185541"/>
    <w:rPr>
      <w:rFonts w:cs="Frutiger LT Pro 57 Condensed"/>
      <w:color w:val="221E1F"/>
      <w:sz w:val="11"/>
      <w:szCs w:val="11"/>
    </w:rPr>
  </w:style>
  <w:style w:type="table" w:customStyle="1" w:styleId="Grigliamedia3-Colore31">
    <w:name w:val="Griglia media 3 - Colore 31"/>
    <w:basedOn w:val="TableNormal"/>
    <w:next w:val="MediumGrid3-Accent3"/>
    <w:uiPriority w:val="69"/>
    <w:rsid w:val="00185541"/>
    <w:pPr>
      <w:spacing w:line="240" w:lineRule="auto"/>
    </w:pPr>
    <w:rPr>
      <w:rFonts w:eastAsia="Times New Roman"/>
      <w:sz w:val="24"/>
      <w:szCs w:val="24"/>
      <w:lang w:val="fr-FR"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5E5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696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696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696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696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ACA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ACACA"/>
      </w:tcPr>
    </w:tblStylePr>
  </w:style>
  <w:style w:type="table" w:customStyle="1" w:styleId="Trameclaire-Accent12">
    <w:name w:val="Trame claire - Accent 12"/>
    <w:basedOn w:val="TableNormal"/>
    <w:uiPriority w:val="60"/>
    <w:rsid w:val="00185541"/>
    <w:pPr>
      <w:spacing w:line="240" w:lineRule="auto"/>
    </w:pPr>
    <w:rPr>
      <w:rFonts w:eastAsia="Times New Roman"/>
      <w:color w:val="A5A5A5"/>
      <w:sz w:val="24"/>
      <w:szCs w:val="24"/>
      <w:lang w:val="fr-FR" w:eastAsia="fr-FR"/>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character" w:customStyle="1" w:styleId="apple-converted-space">
    <w:name w:val="apple-converted-space"/>
    <w:basedOn w:val="DefaultParagraphFont"/>
    <w:rsid w:val="00185541"/>
  </w:style>
  <w:style w:type="character" w:customStyle="1" w:styleId="mi">
    <w:name w:val="mi"/>
    <w:basedOn w:val="DefaultParagraphFont"/>
    <w:rsid w:val="00185541"/>
  </w:style>
  <w:style w:type="character" w:customStyle="1" w:styleId="mn">
    <w:name w:val="mn"/>
    <w:basedOn w:val="DefaultParagraphFont"/>
    <w:rsid w:val="00185541"/>
  </w:style>
  <w:style w:type="character" w:customStyle="1" w:styleId="mo">
    <w:name w:val="mo"/>
    <w:basedOn w:val="DefaultParagraphFont"/>
    <w:rsid w:val="00185541"/>
  </w:style>
  <w:style w:type="character" w:customStyle="1" w:styleId="msqrt">
    <w:name w:val="msqrt"/>
    <w:basedOn w:val="DefaultParagraphFont"/>
    <w:rsid w:val="00185541"/>
  </w:style>
  <w:style w:type="character" w:styleId="PlaceholderText">
    <w:name w:val="Placeholder Text"/>
    <w:basedOn w:val="DefaultParagraphFont"/>
    <w:uiPriority w:val="99"/>
    <w:semiHidden/>
    <w:rsid w:val="00185541"/>
    <w:rPr>
      <w:color w:val="808080"/>
    </w:rPr>
  </w:style>
  <w:style w:type="paragraph" w:customStyle="1" w:styleId="Appendix">
    <w:name w:val="Appendix"/>
    <w:basedOn w:val="Heading1"/>
    <w:next w:val="Normal"/>
    <w:rsid w:val="00185541"/>
    <w:pPr>
      <w:numPr>
        <w:numId w:val="6"/>
      </w:numPr>
      <w:ind w:left="0" w:firstLine="0"/>
    </w:pPr>
  </w:style>
  <w:style w:type="paragraph" w:customStyle="1" w:styleId="Style1">
    <w:name w:val="Style1"/>
    <w:basedOn w:val="Heading1"/>
    <w:next w:val="Appendix"/>
    <w:rsid w:val="00185541"/>
  </w:style>
  <w:style w:type="character" w:customStyle="1" w:styleId="Titolo1Carattere1">
    <w:name w:val="Titolo 1 Carattere1"/>
    <w:basedOn w:val="DefaultParagraphFont"/>
    <w:uiPriority w:val="9"/>
    <w:rsid w:val="00185541"/>
    <w:rPr>
      <w:rFonts w:asciiTheme="majorHAnsi" w:eastAsiaTheme="majorEastAsia" w:hAnsiTheme="majorHAnsi" w:cstheme="majorBidi"/>
      <w:color w:val="365F91" w:themeColor="accent1" w:themeShade="BF"/>
      <w:sz w:val="32"/>
      <w:szCs w:val="32"/>
    </w:rPr>
  </w:style>
  <w:style w:type="character" w:customStyle="1" w:styleId="Titolo2Carattere1">
    <w:name w:val="Titolo 2 Carattere1"/>
    <w:basedOn w:val="DefaultParagraphFont"/>
    <w:uiPriority w:val="9"/>
    <w:semiHidden/>
    <w:rsid w:val="00185541"/>
    <w:rPr>
      <w:rFonts w:asciiTheme="majorHAnsi" w:eastAsiaTheme="majorEastAsia" w:hAnsiTheme="majorHAnsi" w:cstheme="majorBidi"/>
      <w:color w:val="365F91" w:themeColor="accent1" w:themeShade="BF"/>
      <w:sz w:val="26"/>
      <w:szCs w:val="26"/>
    </w:rPr>
  </w:style>
  <w:style w:type="character" w:customStyle="1" w:styleId="Titolo3Carattere1">
    <w:name w:val="Titolo 3 Carattere1"/>
    <w:basedOn w:val="DefaultParagraphFont"/>
    <w:uiPriority w:val="9"/>
    <w:semiHidden/>
    <w:rsid w:val="00185541"/>
    <w:rPr>
      <w:rFonts w:asciiTheme="majorHAnsi" w:eastAsiaTheme="majorEastAsia" w:hAnsiTheme="majorHAnsi" w:cstheme="majorBidi"/>
      <w:color w:val="243F60" w:themeColor="accent1" w:themeShade="7F"/>
      <w:sz w:val="24"/>
      <w:szCs w:val="24"/>
    </w:rPr>
  </w:style>
  <w:style w:type="character" w:customStyle="1" w:styleId="Titolo4Carattere1">
    <w:name w:val="Titolo 4 Carattere1"/>
    <w:basedOn w:val="DefaultParagraphFont"/>
    <w:uiPriority w:val="9"/>
    <w:semiHidden/>
    <w:rsid w:val="00185541"/>
    <w:rPr>
      <w:rFonts w:asciiTheme="majorHAnsi" w:eastAsiaTheme="majorEastAsia" w:hAnsiTheme="majorHAnsi" w:cstheme="majorBidi"/>
      <w:i/>
      <w:iCs/>
      <w:color w:val="365F91" w:themeColor="accent1" w:themeShade="BF"/>
    </w:rPr>
  </w:style>
  <w:style w:type="character" w:customStyle="1" w:styleId="Titolo5Carattere1">
    <w:name w:val="Titolo 5 Carattere1"/>
    <w:basedOn w:val="DefaultParagraphFont"/>
    <w:uiPriority w:val="9"/>
    <w:semiHidden/>
    <w:rsid w:val="00185541"/>
    <w:rPr>
      <w:rFonts w:asciiTheme="majorHAnsi" w:eastAsiaTheme="majorEastAsia" w:hAnsiTheme="majorHAnsi" w:cstheme="majorBidi"/>
      <w:color w:val="365F91" w:themeColor="accent1" w:themeShade="BF"/>
    </w:rPr>
  </w:style>
  <w:style w:type="character" w:customStyle="1" w:styleId="Titolo7Carattere1">
    <w:name w:val="Titolo 7 Carattere1"/>
    <w:basedOn w:val="DefaultParagraphFont"/>
    <w:uiPriority w:val="9"/>
    <w:semiHidden/>
    <w:rsid w:val="00185541"/>
    <w:rPr>
      <w:rFonts w:asciiTheme="majorHAnsi" w:eastAsiaTheme="majorEastAsia" w:hAnsiTheme="majorHAnsi" w:cstheme="majorBidi"/>
      <w:i/>
      <w:iCs/>
      <w:color w:val="243F60" w:themeColor="accent1" w:themeShade="7F"/>
    </w:rPr>
  </w:style>
  <w:style w:type="character" w:customStyle="1" w:styleId="Titolo8Carattere1">
    <w:name w:val="Titolo 8 Carattere1"/>
    <w:basedOn w:val="DefaultParagraphFont"/>
    <w:uiPriority w:val="9"/>
    <w:semiHidden/>
    <w:rsid w:val="00185541"/>
    <w:rPr>
      <w:rFonts w:asciiTheme="majorHAnsi" w:eastAsiaTheme="majorEastAsia" w:hAnsiTheme="majorHAnsi" w:cstheme="majorBidi"/>
      <w:color w:val="272727" w:themeColor="text1" w:themeTint="D8"/>
      <w:sz w:val="21"/>
      <w:szCs w:val="21"/>
    </w:rPr>
  </w:style>
  <w:style w:type="table" w:styleId="LightShading-Accent3">
    <w:name w:val="Light Shading Accent 3"/>
    <w:basedOn w:val="TableNormal"/>
    <w:uiPriority w:val="60"/>
    <w:semiHidden/>
    <w:unhideWhenUsed/>
    <w:rsid w:val="0018554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4">
    <w:name w:val="Light List Accent 4"/>
    <w:basedOn w:val="TableNormal"/>
    <w:uiPriority w:val="61"/>
    <w:semiHidden/>
    <w:unhideWhenUsed/>
    <w:rsid w:val="0018554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2">
    <w:name w:val="Light Shading Accent 2"/>
    <w:basedOn w:val="TableNormal"/>
    <w:uiPriority w:val="60"/>
    <w:semiHidden/>
    <w:unhideWhenUsed/>
    <w:rsid w:val="0018554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semiHidden/>
    <w:unhideWhenUsed/>
    <w:rsid w:val="0018554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FootnoteText">
    <w:name w:val="footnote text"/>
    <w:basedOn w:val="Normal"/>
    <w:link w:val="FootnoteTextChar"/>
    <w:uiPriority w:val="99"/>
    <w:unhideWhenUsed/>
    <w:rsid w:val="00185541"/>
    <w:rPr>
      <w:szCs w:val="20"/>
    </w:rPr>
  </w:style>
  <w:style w:type="character" w:customStyle="1" w:styleId="FootnoteTextChar">
    <w:name w:val="Footnote Text Char"/>
    <w:basedOn w:val="DefaultParagraphFont"/>
    <w:link w:val="FootnoteText"/>
    <w:uiPriority w:val="99"/>
    <w:semiHidden/>
    <w:rsid w:val="00185541"/>
    <w:rPr>
      <w:sz w:val="20"/>
      <w:szCs w:val="20"/>
    </w:rPr>
  </w:style>
  <w:style w:type="table" w:styleId="MediumGrid3-Accent1">
    <w:name w:val="Medium Grid 3 Accent 1"/>
    <w:basedOn w:val="TableNormal"/>
    <w:uiPriority w:val="69"/>
    <w:semiHidden/>
    <w:unhideWhenUsed/>
    <w:rsid w:val="0018554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itle">
    <w:name w:val="Title"/>
    <w:basedOn w:val="Normal"/>
    <w:next w:val="Normal"/>
    <w:link w:val="TitleChar"/>
    <w:uiPriority w:val="10"/>
    <w:qFormat/>
    <w:rsid w:val="00185541"/>
    <w:pPr>
      <w:contextualSpacing/>
    </w:pPr>
    <w:rPr>
      <w:rFonts w:ascii="Calibri" w:eastAsia="Times New Roman" w:hAnsi="Calibri" w:cs="Times New Roman"/>
      <w:color w:val="000000"/>
      <w:spacing w:val="5"/>
      <w:kern w:val="28"/>
      <w:sz w:val="52"/>
      <w:szCs w:val="52"/>
    </w:rPr>
  </w:style>
  <w:style w:type="character" w:customStyle="1" w:styleId="TitoloCarattere1">
    <w:name w:val="Titolo Carattere1"/>
    <w:basedOn w:val="DefaultParagraphFont"/>
    <w:uiPriority w:val="10"/>
    <w:rsid w:val="00185541"/>
    <w:rPr>
      <w:rFonts w:asciiTheme="majorHAnsi" w:eastAsiaTheme="majorEastAsia" w:hAnsiTheme="majorHAnsi" w:cstheme="majorBidi"/>
      <w:spacing w:val="-10"/>
      <w:kern w:val="28"/>
      <w:sz w:val="56"/>
      <w:szCs w:val="56"/>
    </w:rPr>
  </w:style>
  <w:style w:type="table" w:styleId="MediumGrid3-Accent3">
    <w:name w:val="Medium Grid 3 Accent 3"/>
    <w:basedOn w:val="TableNormal"/>
    <w:uiPriority w:val="69"/>
    <w:semiHidden/>
    <w:unhideWhenUsed/>
    <w:rsid w:val="0018554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TOC1">
    <w:name w:val="toc 1"/>
    <w:basedOn w:val="Normal"/>
    <w:next w:val="Normal"/>
    <w:autoRedefine/>
    <w:uiPriority w:val="39"/>
    <w:unhideWhenUsed/>
    <w:rsid w:val="0019046B"/>
    <w:pPr>
      <w:tabs>
        <w:tab w:val="right" w:leader="dot" w:pos="10338"/>
      </w:tabs>
      <w:spacing w:after="0"/>
      <w:jc w:val="left"/>
    </w:pPr>
    <w:rPr>
      <w:rFonts w:ascii="Calibri Light" w:eastAsia="MS Gothic" w:hAnsi="Calibri Light"/>
      <w:noProof/>
    </w:rPr>
  </w:style>
  <w:style w:type="paragraph" w:customStyle="1" w:styleId="Title1">
    <w:name w:val="Title 1"/>
    <w:basedOn w:val="Normal"/>
    <w:link w:val="Title1Char"/>
    <w:qFormat/>
    <w:rsid w:val="00DC2D6D"/>
    <w:pPr>
      <w:spacing w:after="300"/>
      <w:contextualSpacing/>
      <w:jc w:val="center"/>
    </w:pPr>
    <w:rPr>
      <w:rFonts w:ascii="Calibri" w:eastAsia="Times New Roman" w:hAnsi="Calibri" w:cs="Times New Roman"/>
      <w:b/>
      <w:bCs/>
      <w:color w:val="808080" w:themeColor="background1" w:themeShade="80"/>
      <w:spacing w:val="5"/>
      <w:kern w:val="28"/>
      <w:sz w:val="56"/>
      <w:szCs w:val="52"/>
      <w:lang w:eastAsia="fr-FR"/>
    </w:rPr>
  </w:style>
  <w:style w:type="character" w:customStyle="1" w:styleId="Title1Char">
    <w:name w:val="Title 1 Char"/>
    <w:basedOn w:val="Heading1Char"/>
    <w:link w:val="Title1"/>
    <w:rsid w:val="00DC2D6D"/>
    <w:rPr>
      <w:rFonts w:eastAsia="Times New Roman" w:cstheme="minorHAnsi"/>
      <w:b/>
      <w:color w:val="808080" w:themeColor="background1" w:themeShade="80"/>
      <w:spacing w:val="5"/>
      <w:kern w:val="28"/>
      <w:sz w:val="56"/>
      <w:szCs w:val="52"/>
      <w:lang w:eastAsia="fr-FR"/>
    </w:rPr>
  </w:style>
  <w:style w:type="character" w:customStyle="1" w:styleId="CommentaireCar1">
    <w:name w:val="Commentaire Car1"/>
    <w:basedOn w:val="DefaultParagraphFont"/>
    <w:uiPriority w:val="99"/>
    <w:semiHidden/>
    <w:rsid w:val="00826F3D"/>
    <w:rPr>
      <w:sz w:val="20"/>
      <w:szCs w:val="20"/>
      <w:lang w:val="en-US"/>
    </w:rPr>
  </w:style>
  <w:style w:type="character" w:customStyle="1" w:styleId="ObjetducommentaireCar1">
    <w:name w:val="Objet du commentaire Car1"/>
    <w:basedOn w:val="CommentaireCar1"/>
    <w:uiPriority w:val="99"/>
    <w:semiHidden/>
    <w:rsid w:val="00826F3D"/>
    <w:rPr>
      <w:b/>
      <w:bCs/>
      <w:sz w:val="20"/>
      <w:szCs w:val="20"/>
      <w:lang w:val="en-US"/>
    </w:rPr>
  </w:style>
  <w:style w:type="paragraph" w:customStyle="1" w:styleId="Default">
    <w:name w:val="Default"/>
    <w:rsid w:val="00826F3D"/>
    <w:pPr>
      <w:autoSpaceDE w:val="0"/>
      <w:autoSpaceDN w:val="0"/>
      <w:adjustRightInd w:val="0"/>
      <w:spacing w:line="240" w:lineRule="auto"/>
    </w:pPr>
    <w:rPr>
      <w:rFonts w:ascii="Calibri" w:hAnsi="Calibri" w:cs="Calibri"/>
      <w:color w:val="000000"/>
      <w:sz w:val="24"/>
      <w:szCs w:val="24"/>
      <w:lang w:val="fr-FR"/>
    </w:rPr>
  </w:style>
  <w:style w:type="numbering" w:customStyle="1" w:styleId="Aucuneliste1">
    <w:name w:val="Aucune liste1"/>
    <w:next w:val="NoList"/>
    <w:uiPriority w:val="99"/>
    <w:semiHidden/>
    <w:unhideWhenUsed/>
    <w:rsid w:val="00826F3D"/>
  </w:style>
  <w:style w:type="paragraph" w:customStyle="1" w:styleId="NoSpace">
    <w:name w:val="NoSpace"/>
    <w:basedOn w:val="Normal"/>
    <w:link w:val="NoSpaceChar"/>
    <w:qFormat/>
    <w:rsid w:val="00ED40C7"/>
    <w:pPr>
      <w:spacing w:after="0"/>
    </w:pPr>
    <w:rPr>
      <w:rFonts w:ascii="Calibri" w:eastAsia="Times New Roman" w:hAnsi="Calibri" w:cs="Times New Roman"/>
      <w:color w:val="000000"/>
      <w:szCs w:val="20"/>
      <w:lang w:eastAsia="it-IT"/>
    </w:rPr>
  </w:style>
  <w:style w:type="character" w:customStyle="1" w:styleId="NoSpaceChar">
    <w:name w:val="NoSpace Char"/>
    <w:basedOn w:val="DefaultParagraphFont"/>
    <w:link w:val="NoSpace"/>
    <w:rsid w:val="00ED40C7"/>
    <w:rPr>
      <w:rFonts w:ascii="Calibri" w:eastAsia="Times New Roman" w:hAnsi="Calibri" w:cs="Times New Roman"/>
      <w:color w:val="000000"/>
      <w:sz w:val="20"/>
      <w:szCs w:val="20"/>
      <w:lang w:eastAsia="it-IT"/>
    </w:rPr>
  </w:style>
  <w:style w:type="paragraph" w:styleId="TOCHeading">
    <w:name w:val="TOC Heading"/>
    <w:basedOn w:val="Heading1"/>
    <w:next w:val="Normal"/>
    <w:uiPriority w:val="39"/>
    <w:unhideWhenUsed/>
    <w:qFormat/>
    <w:rsid w:val="00826F3D"/>
    <w:pPr>
      <w:spacing w:before="480"/>
      <w:outlineLvl w:val="9"/>
    </w:pPr>
    <w:rPr>
      <w:rFonts w:asciiTheme="majorHAnsi" w:eastAsiaTheme="majorEastAsia" w:hAnsiTheme="majorHAnsi" w:cstheme="majorBidi"/>
      <w:lang w:val="fr-FR"/>
    </w:rPr>
  </w:style>
  <w:style w:type="paragraph" w:styleId="TOC2">
    <w:name w:val="toc 2"/>
    <w:basedOn w:val="Normal"/>
    <w:next w:val="Normal"/>
    <w:autoRedefine/>
    <w:uiPriority w:val="39"/>
    <w:unhideWhenUsed/>
    <w:rsid w:val="000A30A9"/>
    <w:pPr>
      <w:widowControl w:val="0"/>
      <w:spacing w:after="100" w:line="250" w:lineRule="auto"/>
      <w:ind w:left="220" w:right="616"/>
    </w:pPr>
    <w:rPr>
      <w:rFonts w:ascii="Calibri Light" w:eastAsia="Arial" w:hAnsi="Calibri Light" w:cstheme="minorHAnsi"/>
      <w:w w:val="89"/>
      <w:szCs w:val="20"/>
      <w:lang w:val="en-US"/>
    </w:rPr>
  </w:style>
  <w:style w:type="paragraph" w:styleId="TOC3">
    <w:name w:val="toc 3"/>
    <w:basedOn w:val="Normal"/>
    <w:next w:val="Normal"/>
    <w:autoRedefine/>
    <w:uiPriority w:val="39"/>
    <w:unhideWhenUsed/>
    <w:rsid w:val="00826F3D"/>
    <w:pPr>
      <w:widowControl w:val="0"/>
      <w:spacing w:after="100" w:line="250" w:lineRule="auto"/>
      <w:ind w:left="440" w:right="616"/>
    </w:pPr>
    <w:rPr>
      <w:rFonts w:eastAsia="Arial" w:cstheme="minorHAnsi"/>
      <w:w w:val="89"/>
      <w:szCs w:val="20"/>
      <w:lang w:val="en-US"/>
    </w:rPr>
  </w:style>
  <w:style w:type="paragraph" w:styleId="TOC4">
    <w:name w:val="toc 4"/>
    <w:basedOn w:val="Normal"/>
    <w:next w:val="Normal"/>
    <w:autoRedefine/>
    <w:uiPriority w:val="39"/>
    <w:unhideWhenUsed/>
    <w:rsid w:val="00826F3D"/>
    <w:pPr>
      <w:widowControl w:val="0"/>
      <w:spacing w:after="100" w:line="250" w:lineRule="auto"/>
      <w:ind w:left="660" w:right="616"/>
    </w:pPr>
    <w:rPr>
      <w:rFonts w:eastAsia="Arial" w:cstheme="minorHAnsi"/>
      <w:w w:val="89"/>
      <w:szCs w:val="20"/>
      <w:lang w:val="en-US"/>
    </w:rPr>
  </w:style>
  <w:style w:type="paragraph" w:styleId="NoSpacing">
    <w:name w:val="No Spacing"/>
    <w:uiPriority w:val="1"/>
    <w:rsid w:val="00826F3D"/>
    <w:pPr>
      <w:widowControl w:val="0"/>
      <w:spacing w:line="240" w:lineRule="auto"/>
      <w:ind w:left="709" w:right="616"/>
    </w:pPr>
    <w:rPr>
      <w:rFonts w:ascii="Arial Narrow" w:eastAsia="Arial" w:hAnsi="Arial Narrow" w:cs="Arial"/>
      <w:w w:val="89"/>
      <w:szCs w:val="20"/>
      <w:lang w:val="en-US"/>
    </w:rPr>
  </w:style>
  <w:style w:type="character" w:styleId="FollowedHyperlink">
    <w:name w:val="FollowedHyperlink"/>
    <w:basedOn w:val="DefaultParagraphFont"/>
    <w:uiPriority w:val="99"/>
    <w:semiHidden/>
    <w:unhideWhenUsed/>
    <w:rsid w:val="00826F3D"/>
    <w:rPr>
      <w:color w:val="800080" w:themeColor="followedHyperlink"/>
      <w:u w:val="single"/>
    </w:rPr>
  </w:style>
  <w:style w:type="numbering" w:customStyle="1" w:styleId="Aucuneliste2">
    <w:name w:val="Aucune liste2"/>
    <w:next w:val="NoList"/>
    <w:uiPriority w:val="99"/>
    <w:semiHidden/>
    <w:unhideWhenUsed/>
    <w:rsid w:val="00826F3D"/>
  </w:style>
  <w:style w:type="paragraph" w:styleId="Caption">
    <w:name w:val="caption"/>
    <w:basedOn w:val="Normal"/>
    <w:next w:val="Normal"/>
    <w:uiPriority w:val="35"/>
    <w:unhideWhenUsed/>
    <w:qFormat/>
    <w:rsid w:val="0029589C"/>
    <w:pPr>
      <w:spacing w:after="200"/>
      <w:jc w:val="center"/>
    </w:pPr>
    <w:rPr>
      <w:i/>
      <w:iCs/>
      <w:color w:val="1F497D" w:themeColor="text2"/>
      <w:sz w:val="18"/>
      <w:szCs w:val="18"/>
      <w:lang w:val="en-US"/>
    </w:rPr>
  </w:style>
  <w:style w:type="character" w:customStyle="1" w:styleId="ListParagraphChar">
    <w:name w:val="List Paragraph Char"/>
    <w:aliases w:val="Bullet points Char,Bullets Char,List Paragraph1 Char,References Char,ReferencesCxSpLast Char,123 List Paragraph Char,Dot pt Char,List Paragraph (numbered (a)) Char,FooterText Char,Bullet List Char,numbered Char,列出段落 Char,列出段落1 Char"/>
    <w:basedOn w:val="DefaultParagraphFont"/>
    <w:link w:val="ListParagraph"/>
    <w:uiPriority w:val="34"/>
    <w:locked/>
    <w:rsid w:val="007F56FC"/>
  </w:style>
  <w:style w:type="character" w:customStyle="1" w:styleId="Heading6Char">
    <w:name w:val="Heading 6 Char"/>
    <w:basedOn w:val="DefaultParagraphFont"/>
    <w:link w:val="Heading6"/>
    <w:uiPriority w:val="9"/>
    <w:semiHidden/>
    <w:rsid w:val="001F5AF9"/>
    <w:rPr>
      <w:rFonts w:asciiTheme="majorHAnsi" w:eastAsiaTheme="majorEastAsia" w:hAnsiTheme="majorHAnsi" w:cstheme="majorBidi"/>
      <w:color w:val="243F60" w:themeColor="accent1" w:themeShade="7F"/>
      <w:sz w:val="20"/>
    </w:rPr>
  </w:style>
  <w:style w:type="character" w:customStyle="1" w:styleId="Heading9Char">
    <w:name w:val="Heading 9 Char"/>
    <w:basedOn w:val="DefaultParagraphFont"/>
    <w:link w:val="Heading9"/>
    <w:uiPriority w:val="9"/>
    <w:semiHidden/>
    <w:rsid w:val="001F5AF9"/>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304FE5"/>
    <w:rPr>
      <w:color w:val="605E5C"/>
      <w:shd w:val="clear" w:color="auto" w:fill="E1DFDD"/>
    </w:rPr>
  </w:style>
  <w:style w:type="character" w:styleId="UnresolvedMention">
    <w:name w:val="Unresolved Mention"/>
    <w:basedOn w:val="DefaultParagraphFont"/>
    <w:uiPriority w:val="99"/>
    <w:semiHidden/>
    <w:unhideWhenUsed/>
    <w:rsid w:val="00983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74">
      <w:bodyDiv w:val="1"/>
      <w:marLeft w:val="0"/>
      <w:marRight w:val="0"/>
      <w:marTop w:val="0"/>
      <w:marBottom w:val="0"/>
      <w:divBdr>
        <w:top w:val="none" w:sz="0" w:space="0" w:color="auto"/>
        <w:left w:val="none" w:sz="0" w:space="0" w:color="auto"/>
        <w:bottom w:val="none" w:sz="0" w:space="0" w:color="auto"/>
        <w:right w:val="none" w:sz="0" w:space="0" w:color="auto"/>
      </w:divBdr>
    </w:div>
    <w:div w:id="100495512">
      <w:bodyDiv w:val="1"/>
      <w:marLeft w:val="0"/>
      <w:marRight w:val="0"/>
      <w:marTop w:val="0"/>
      <w:marBottom w:val="0"/>
      <w:divBdr>
        <w:top w:val="none" w:sz="0" w:space="0" w:color="auto"/>
        <w:left w:val="none" w:sz="0" w:space="0" w:color="auto"/>
        <w:bottom w:val="none" w:sz="0" w:space="0" w:color="auto"/>
        <w:right w:val="none" w:sz="0" w:space="0" w:color="auto"/>
      </w:divBdr>
    </w:div>
    <w:div w:id="136844254">
      <w:bodyDiv w:val="1"/>
      <w:marLeft w:val="0"/>
      <w:marRight w:val="0"/>
      <w:marTop w:val="0"/>
      <w:marBottom w:val="0"/>
      <w:divBdr>
        <w:top w:val="none" w:sz="0" w:space="0" w:color="auto"/>
        <w:left w:val="none" w:sz="0" w:space="0" w:color="auto"/>
        <w:bottom w:val="none" w:sz="0" w:space="0" w:color="auto"/>
        <w:right w:val="none" w:sz="0" w:space="0" w:color="auto"/>
      </w:divBdr>
      <w:divsChild>
        <w:div w:id="1483816294">
          <w:marLeft w:val="547"/>
          <w:marRight w:val="0"/>
          <w:marTop w:val="140"/>
          <w:marBottom w:val="0"/>
          <w:divBdr>
            <w:top w:val="none" w:sz="0" w:space="0" w:color="auto"/>
            <w:left w:val="none" w:sz="0" w:space="0" w:color="auto"/>
            <w:bottom w:val="none" w:sz="0" w:space="0" w:color="auto"/>
            <w:right w:val="none" w:sz="0" w:space="0" w:color="auto"/>
          </w:divBdr>
        </w:div>
      </w:divsChild>
    </w:div>
    <w:div w:id="179054294">
      <w:bodyDiv w:val="1"/>
      <w:marLeft w:val="0"/>
      <w:marRight w:val="0"/>
      <w:marTop w:val="0"/>
      <w:marBottom w:val="0"/>
      <w:divBdr>
        <w:top w:val="none" w:sz="0" w:space="0" w:color="auto"/>
        <w:left w:val="none" w:sz="0" w:space="0" w:color="auto"/>
        <w:bottom w:val="none" w:sz="0" w:space="0" w:color="auto"/>
        <w:right w:val="none" w:sz="0" w:space="0" w:color="auto"/>
      </w:divBdr>
    </w:div>
    <w:div w:id="179397298">
      <w:bodyDiv w:val="1"/>
      <w:marLeft w:val="0"/>
      <w:marRight w:val="0"/>
      <w:marTop w:val="0"/>
      <w:marBottom w:val="0"/>
      <w:divBdr>
        <w:top w:val="none" w:sz="0" w:space="0" w:color="auto"/>
        <w:left w:val="none" w:sz="0" w:space="0" w:color="auto"/>
        <w:bottom w:val="none" w:sz="0" w:space="0" w:color="auto"/>
        <w:right w:val="none" w:sz="0" w:space="0" w:color="auto"/>
      </w:divBdr>
    </w:div>
    <w:div w:id="241960646">
      <w:bodyDiv w:val="1"/>
      <w:marLeft w:val="0"/>
      <w:marRight w:val="0"/>
      <w:marTop w:val="0"/>
      <w:marBottom w:val="0"/>
      <w:divBdr>
        <w:top w:val="none" w:sz="0" w:space="0" w:color="auto"/>
        <w:left w:val="none" w:sz="0" w:space="0" w:color="auto"/>
        <w:bottom w:val="none" w:sz="0" w:space="0" w:color="auto"/>
        <w:right w:val="none" w:sz="0" w:space="0" w:color="auto"/>
      </w:divBdr>
    </w:div>
    <w:div w:id="295456153">
      <w:bodyDiv w:val="1"/>
      <w:marLeft w:val="0"/>
      <w:marRight w:val="0"/>
      <w:marTop w:val="0"/>
      <w:marBottom w:val="0"/>
      <w:divBdr>
        <w:top w:val="none" w:sz="0" w:space="0" w:color="auto"/>
        <w:left w:val="none" w:sz="0" w:space="0" w:color="auto"/>
        <w:bottom w:val="none" w:sz="0" w:space="0" w:color="auto"/>
        <w:right w:val="none" w:sz="0" w:space="0" w:color="auto"/>
      </w:divBdr>
    </w:div>
    <w:div w:id="358315268">
      <w:bodyDiv w:val="1"/>
      <w:marLeft w:val="0"/>
      <w:marRight w:val="0"/>
      <w:marTop w:val="0"/>
      <w:marBottom w:val="0"/>
      <w:divBdr>
        <w:top w:val="none" w:sz="0" w:space="0" w:color="auto"/>
        <w:left w:val="none" w:sz="0" w:space="0" w:color="auto"/>
        <w:bottom w:val="none" w:sz="0" w:space="0" w:color="auto"/>
        <w:right w:val="none" w:sz="0" w:space="0" w:color="auto"/>
      </w:divBdr>
    </w:div>
    <w:div w:id="580601256">
      <w:bodyDiv w:val="1"/>
      <w:marLeft w:val="0"/>
      <w:marRight w:val="0"/>
      <w:marTop w:val="0"/>
      <w:marBottom w:val="0"/>
      <w:divBdr>
        <w:top w:val="none" w:sz="0" w:space="0" w:color="auto"/>
        <w:left w:val="none" w:sz="0" w:space="0" w:color="auto"/>
        <w:bottom w:val="none" w:sz="0" w:space="0" w:color="auto"/>
        <w:right w:val="none" w:sz="0" w:space="0" w:color="auto"/>
      </w:divBdr>
    </w:div>
    <w:div w:id="617024808">
      <w:bodyDiv w:val="1"/>
      <w:marLeft w:val="0"/>
      <w:marRight w:val="0"/>
      <w:marTop w:val="0"/>
      <w:marBottom w:val="0"/>
      <w:divBdr>
        <w:top w:val="none" w:sz="0" w:space="0" w:color="auto"/>
        <w:left w:val="none" w:sz="0" w:space="0" w:color="auto"/>
        <w:bottom w:val="none" w:sz="0" w:space="0" w:color="auto"/>
        <w:right w:val="none" w:sz="0" w:space="0" w:color="auto"/>
      </w:divBdr>
    </w:div>
    <w:div w:id="632515871">
      <w:bodyDiv w:val="1"/>
      <w:marLeft w:val="0"/>
      <w:marRight w:val="0"/>
      <w:marTop w:val="0"/>
      <w:marBottom w:val="0"/>
      <w:divBdr>
        <w:top w:val="none" w:sz="0" w:space="0" w:color="auto"/>
        <w:left w:val="none" w:sz="0" w:space="0" w:color="auto"/>
        <w:bottom w:val="none" w:sz="0" w:space="0" w:color="auto"/>
        <w:right w:val="none" w:sz="0" w:space="0" w:color="auto"/>
      </w:divBdr>
    </w:div>
    <w:div w:id="641733454">
      <w:bodyDiv w:val="1"/>
      <w:marLeft w:val="0"/>
      <w:marRight w:val="0"/>
      <w:marTop w:val="0"/>
      <w:marBottom w:val="0"/>
      <w:divBdr>
        <w:top w:val="none" w:sz="0" w:space="0" w:color="auto"/>
        <w:left w:val="none" w:sz="0" w:space="0" w:color="auto"/>
        <w:bottom w:val="none" w:sz="0" w:space="0" w:color="auto"/>
        <w:right w:val="none" w:sz="0" w:space="0" w:color="auto"/>
      </w:divBdr>
    </w:div>
    <w:div w:id="652179216">
      <w:bodyDiv w:val="1"/>
      <w:marLeft w:val="0"/>
      <w:marRight w:val="0"/>
      <w:marTop w:val="0"/>
      <w:marBottom w:val="0"/>
      <w:divBdr>
        <w:top w:val="none" w:sz="0" w:space="0" w:color="auto"/>
        <w:left w:val="none" w:sz="0" w:space="0" w:color="auto"/>
        <w:bottom w:val="none" w:sz="0" w:space="0" w:color="auto"/>
        <w:right w:val="none" w:sz="0" w:space="0" w:color="auto"/>
      </w:divBdr>
    </w:div>
    <w:div w:id="687218759">
      <w:bodyDiv w:val="1"/>
      <w:marLeft w:val="0"/>
      <w:marRight w:val="0"/>
      <w:marTop w:val="0"/>
      <w:marBottom w:val="0"/>
      <w:divBdr>
        <w:top w:val="none" w:sz="0" w:space="0" w:color="auto"/>
        <w:left w:val="none" w:sz="0" w:space="0" w:color="auto"/>
        <w:bottom w:val="none" w:sz="0" w:space="0" w:color="auto"/>
        <w:right w:val="none" w:sz="0" w:space="0" w:color="auto"/>
      </w:divBdr>
    </w:div>
    <w:div w:id="698703886">
      <w:bodyDiv w:val="1"/>
      <w:marLeft w:val="0"/>
      <w:marRight w:val="0"/>
      <w:marTop w:val="0"/>
      <w:marBottom w:val="0"/>
      <w:divBdr>
        <w:top w:val="none" w:sz="0" w:space="0" w:color="auto"/>
        <w:left w:val="none" w:sz="0" w:space="0" w:color="auto"/>
        <w:bottom w:val="none" w:sz="0" w:space="0" w:color="auto"/>
        <w:right w:val="none" w:sz="0" w:space="0" w:color="auto"/>
      </w:divBdr>
    </w:div>
    <w:div w:id="750735670">
      <w:bodyDiv w:val="1"/>
      <w:marLeft w:val="0"/>
      <w:marRight w:val="0"/>
      <w:marTop w:val="0"/>
      <w:marBottom w:val="0"/>
      <w:divBdr>
        <w:top w:val="none" w:sz="0" w:space="0" w:color="auto"/>
        <w:left w:val="none" w:sz="0" w:space="0" w:color="auto"/>
        <w:bottom w:val="none" w:sz="0" w:space="0" w:color="auto"/>
        <w:right w:val="none" w:sz="0" w:space="0" w:color="auto"/>
      </w:divBdr>
    </w:div>
    <w:div w:id="752238304">
      <w:bodyDiv w:val="1"/>
      <w:marLeft w:val="0"/>
      <w:marRight w:val="0"/>
      <w:marTop w:val="0"/>
      <w:marBottom w:val="0"/>
      <w:divBdr>
        <w:top w:val="none" w:sz="0" w:space="0" w:color="auto"/>
        <w:left w:val="none" w:sz="0" w:space="0" w:color="auto"/>
        <w:bottom w:val="none" w:sz="0" w:space="0" w:color="auto"/>
        <w:right w:val="none" w:sz="0" w:space="0" w:color="auto"/>
      </w:divBdr>
    </w:div>
    <w:div w:id="767192656">
      <w:bodyDiv w:val="1"/>
      <w:marLeft w:val="0"/>
      <w:marRight w:val="0"/>
      <w:marTop w:val="0"/>
      <w:marBottom w:val="0"/>
      <w:divBdr>
        <w:top w:val="none" w:sz="0" w:space="0" w:color="auto"/>
        <w:left w:val="none" w:sz="0" w:space="0" w:color="auto"/>
        <w:bottom w:val="none" w:sz="0" w:space="0" w:color="auto"/>
        <w:right w:val="none" w:sz="0" w:space="0" w:color="auto"/>
      </w:divBdr>
    </w:div>
    <w:div w:id="790052660">
      <w:bodyDiv w:val="1"/>
      <w:marLeft w:val="0"/>
      <w:marRight w:val="0"/>
      <w:marTop w:val="0"/>
      <w:marBottom w:val="0"/>
      <w:divBdr>
        <w:top w:val="none" w:sz="0" w:space="0" w:color="auto"/>
        <w:left w:val="none" w:sz="0" w:space="0" w:color="auto"/>
        <w:bottom w:val="none" w:sz="0" w:space="0" w:color="auto"/>
        <w:right w:val="none" w:sz="0" w:space="0" w:color="auto"/>
      </w:divBdr>
    </w:div>
    <w:div w:id="859662524">
      <w:bodyDiv w:val="1"/>
      <w:marLeft w:val="0"/>
      <w:marRight w:val="0"/>
      <w:marTop w:val="0"/>
      <w:marBottom w:val="0"/>
      <w:divBdr>
        <w:top w:val="none" w:sz="0" w:space="0" w:color="auto"/>
        <w:left w:val="none" w:sz="0" w:space="0" w:color="auto"/>
        <w:bottom w:val="none" w:sz="0" w:space="0" w:color="auto"/>
        <w:right w:val="none" w:sz="0" w:space="0" w:color="auto"/>
      </w:divBdr>
    </w:div>
    <w:div w:id="885024677">
      <w:bodyDiv w:val="1"/>
      <w:marLeft w:val="0"/>
      <w:marRight w:val="0"/>
      <w:marTop w:val="0"/>
      <w:marBottom w:val="0"/>
      <w:divBdr>
        <w:top w:val="none" w:sz="0" w:space="0" w:color="auto"/>
        <w:left w:val="none" w:sz="0" w:space="0" w:color="auto"/>
        <w:bottom w:val="none" w:sz="0" w:space="0" w:color="auto"/>
        <w:right w:val="none" w:sz="0" w:space="0" w:color="auto"/>
      </w:divBdr>
    </w:div>
    <w:div w:id="945699420">
      <w:bodyDiv w:val="1"/>
      <w:marLeft w:val="0"/>
      <w:marRight w:val="0"/>
      <w:marTop w:val="0"/>
      <w:marBottom w:val="0"/>
      <w:divBdr>
        <w:top w:val="none" w:sz="0" w:space="0" w:color="auto"/>
        <w:left w:val="none" w:sz="0" w:space="0" w:color="auto"/>
        <w:bottom w:val="none" w:sz="0" w:space="0" w:color="auto"/>
        <w:right w:val="none" w:sz="0" w:space="0" w:color="auto"/>
      </w:divBdr>
    </w:div>
    <w:div w:id="947615453">
      <w:bodyDiv w:val="1"/>
      <w:marLeft w:val="0"/>
      <w:marRight w:val="0"/>
      <w:marTop w:val="0"/>
      <w:marBottom w:val="0"/>
      <w:divBdr>
        <w:top w:val="none" w:sz="0" w:space="0" w:color="auto"/>
        <w:left w:val="none" w:sz="0" w:space="0" w:color="auto"/>
        <w:bottom w:val="none" w:sz="0" w:space="0" w:color="auto"/>
        <w:right w:val="none" w:sz="0" w:space="0" w:color="auto"/>
      </w:divBdr>
    </w:div>
    <w:div w:id="1056465930">
      <w:bodyDiv w:val="1"/>
      <w:marLeft w:val="0"/>
      <w:marRight w:val="0"/>
      <w:marTop w:val="0"/>
      <w:marBottom w:val="0"/>
      <w:divBdr>
        <w:top w:val="none" w:sz="0" w:space="0" w:color="auto"/>
        <w:left w:val="none" w:sz="0" w:space="0" w:color="auto"/>
        <w:bottom w:val="none" w:sz="0" w:space="0" w:color="auto"/>
        <w:right w:val="none" w:sz="0" w:space="0" w:color="auto"/>
      </w:divBdr>
    </w:div>
    <w:div w:id="1178928078">
      <w:bodyDiv w:val="1"/>
      <w:marLeft w:val="0"/>
      <w:marRight w:val="0"/>
      <w:marTop w:val="0"/>
      <w:marBottom w:val="0"/>
      <w:divBdr>
        <w:top w:val="none" w:sz="0" w:space="0" w:color="auto"/>
        <w:left w:val="none" w:sz="0" w:space="0" w:color="auto"/>
        <w:bottom w:val="none" w:sz="0" w:space="0" w:color="auto"/>
        <w:right w:val="none" w:sz="0" w:space="0" w:color="auto"/>
      </w:divBdr>
    </w:div>
    <w:div w:id="1214536509">
      <w:bodyDiv w:val="1"/>
      <w:marLeft w:val="0"/>
      <w:marRight w:val="0"/>
      <w:marTop w:val="0"/>
      <w:marBottom w:val="0"/>
      <w:divBdr>
        <w:top w:val="none" w:sz="0" w:space="0" w:color="auto"/>
        <w:left w:val="none" w:sz="0" w:space="0" w:color="auto"/>
        <w:bottom w:val="none" w:sz="0" w:space="0" w:color="auto"/>
        <w:right w:val="none" w:sz="0" w:space="0" w:color="auto"/>
      </w:divBdr>
    </w:div>
    <w:div w:id="1225524476">
      <w:bodyDiv w:val="1"/>
      <w:marLeft w:val="0"/>
      <w:marRight w:val="0"/>
      <w:marTop w:val="0"/>
      <w:marBottom w:val="0"/>
      <w:divBdr>
        <w:top w:val="none" w:sz="0" w:space="0" w:color="auto"/>
        <w:left w:val="none" w:sz="0" w:space="0" w:color="auto"/>
        <w:bottom w:val="none" w:sz="0" w:space="0" w:color="auto"/>
        <w:right w:val="none" w:sz="0" w:space="0" w:color="auto"/>
      </w:divBdr>
    </w:div>
    <w:div w:id="1253004666">
      <w:bodyDiv w:val="1"/>
      <w:marLeft w:val="0"/>
      <w:marRight w:val="0"/>
      <w:marTop w:val="0"/>
      <w:marBottom w:val="0"/>
      <w:divBdr>
        <w:top w:val="none" w:sz="0" w:space="0" w:color="auto"/>
        <w:left w:val="none" w:sz="0" w:space="0" w:color="auto"/>
        <w:bottom w:val="none" w:sz="0" w:space="0" w:color="auto"/>
        <w:right w:val="none" w:sz="0" w:space="0" w:color="auto"/>
      </w:divBdr>
      <w:divsChild>
        <w:div w:id="1952855127">
          <w:marLeft w:val="547"/>
          <w:marRight w:val="0"/>
          <w:marTop w:val="0"/>
          <w:marBottom w:val="0"/>
          <w:divBdr>
            <w:top w:val="none" w:sz="0" w:space="0" w:color="auto"/>
            <w:left w:val="none" w:sz="0" w:space="0" w:color="auto"/>
            <w:bottom w:val="none" w:sz="0" w:space="0" w:color="auto"/>
            <w:right w:val="none" w:sz="0" w:space="0" w:color="auto"/>
          </w:divBdr>
        </w:div>
        <w:div w:id="462309573">
          <w:marLeft w:val="547"/>
          <w:marRight w:val="0"/>
          <w:marTop w:val="0"/>
          <w:marBottom w:val="0"/>
          <w:divBdr>
            <w:top w:val="none" w:sz="0" w:space="0" w:color="auto"/>
            <w:left w:val="none" w:sz="0" w:space="0" w:color="auto"/>
            <w:bottom w:val="none" w:sz="0" w:space="0" w:color="auto"/>
            <w:right w:val="none" w:sz="0" w:space="0" w:color="auto"/>
          </w:divBdr>
        </w:div>
        <w:div w:id="1628853168">
          <w:marLeft w:val="547"/>
          <w:marRight w:val="0"/>
          <w:marTop w:val="0"/>
          <w:marBottom w:val="0"/>
          <w:divBdr>
            <w:top w:val="none" w:sz="0" w:space="0" w:color="auto"/>
            <w:left w:val="none" w:sz="0" w:space="0" w:color="auto"/>
            <w:bottom w:val="none" w:sz="0" w:space="0" w:color="auto"/>
            <w:right w:val="none" w:sz="0" w:space="0" w:color="auto"/>
          </w:divBdr>
        </w:div>
      </w:divsChild>
    </w:div>
    <w:div w:id="1291863469">
      <w:bodyDiv w:val="1"/>
      <w:marLeft w:val="0"/>
      <w:marRight w:val="0"/>
      <w:marTop w:val="0"/>
      <w:marBottom w:val="0"/>
      <w:divBdr>
        <w:top w:val="none" w:sz="0" w:space="0" w:color="auto"/>
        <w:left w:val="none" w:sz="0" w:space="0" w:color="auto"/>
        <w:bottom w:val="none" w:sz="0" w:space="0" w:color="auto"/>
        <w:right w:val="none" w:sz="0" w:space="0" w:color="auto"/>
      </w:divBdr>
    </w:div>
    <w:div w:id="1355379691">
      <w:bodyDiv w:val="1"/>
      <w:marLeft w:val="0"/>
      <w:marRight w:val="0"/>
      <w:marTop w:val="0"/>
      <w:marBottom w:val="0"/>
      <w:divBdr>
        <w:top w:val="none" w:sz="0" w:space="0" w:color="auto"/>
        <w:left w:val="none" w:sz="0" w:space="0" w:color="auto"/>
        <w:bottom w:val="none" w:sz="0" w:space="0" w:color="auto"/>
        <w:right w:val="none" w:sz="0" w:space="0" w:color="auto"/>
      </w:divBdr>
    </w:div>
    <w:div w:id="1435052244">
      <w:bodyDiv w:val="1"/>
      <w:marLeft w:val="0"/>
      <w:marRight w:val="0"/>
      <w:marTop w:val="0"/>
      <w:marBottom w:val="0"/>
      <w:divBdr>
        <w:top w:val="none" w:sz="0" w:space="0" w:color="auto"/>
        <w:left w:val="none" w:sz="0" w:space="0" w:color="auto"/>
        <w:bottom w:val="none" w:sz="0" w:space="0" w:color="auto"/>
        <w:right w:val="none" w:sz="0" w:space="0" w:color="auto"/>
      </w:divBdr>
      <w:divsChild>
        <w:div w:id="57703889">
          <w:marLeft w:val="994"/>
          <w:marRight w:val="0"/>
          <w:marTop w:val="0"/>
          <w:marBottom w:val="0"/>
          <w:divBdr>
            <w:top w:val="none" w:sz="0" w:space="0" w:color="auto"/>
            <w:left w:val="none" w:sz="0" w:space="0" w:color="auto"/>
            <w:bottom w:val="none" w:sz="0" w:space="0" w:color="auto"/>
            <w:right w:val="none" w:sz="0" w:space="0" w:color="auto"/>
          </w:divBdr>
        </w:div>
        <w:div w:id="153380754">
          <w:marLeft w:val="994"/>
          <w:marRight w:val="0"/>
          <w:marTop w:val="0"/>
          <w:marBottom w:val="0"/>
          <w:divBdr>
            <w:top w:val="none" w:sz="0" w:space="0" w:color="auto"/>
            <w:left w:val="none" w:sz="0" w:space="0" w:color="auto"/>
            <w:bottom w:val="none" w:sz="0" w:space="0" w:color="auto"/>
            <w:right w:val="none" w:sz="0" w:space="0" w:color="auto"/>
          </w:divBdr>
        </w:div>
        <w:div w:id="410588593">
          <w:marLeft w:val="994"/>
          <w:marRight w:val="0"/>
          <w:marTop w:val="0"/>
          <w:marBottom w:val="0"/>
          <w:divBdr>
            <w:top w:val="none" w:sz="0" w:space="0" w:color="auto"/>
            <w:left w:val="none" w:sz="0" w:space="0" w:color="auto"/>
            <w:bottom w:val="none" w:sz="0" w:space="0" w:color="auto"/>
            <w:right w:val="none" w:sz="0" w:space="0" w:color="auto"/>
          </w:divBdr>
        </w:div>
        <w:div w:id="808282228">
          <w:marLeft w:val="994"/>
          <w:marRight w:val="0"/>
          <w:marTop w:val="0"/>
          <w:marBottom w:val="0"/>
          <w:divBdr>
            <w:top w:val="none" w:sz="0" w:space="0" w:color="auto"/>
            <w:left w:val="none" w:sz="0" w:space="0" w:color="auto"/>
            <w:bottom w:val="none" w:sz="0" w:space="0" w:color="auto"/>
            <w:right w:val="none" w:sz="0" w:space="0" w:color="auto"/>
          </w:divBdr>
        </w:div>
        <w:div w:id="2015108440">
          <w:marLeft w:val="994"/>
          <w:marRight w:val="0"/>
          <w:marTop w:val="0"/>
          <w:marBottom w:val="0"/>
          <w:divBdr>
            <w:top w:val="none" w:sz="0" w:space="0" w:color="auto"/>
            <w:left w:val="none" w:sz="0" w:space="0" w:color="auto"/>
            <w:bottom w:val="none" w:sz="0" w:space="0" w:color="auto"/>
            <w:right w:val="none" w:sz="0" w:space="0" w:color="auto"/>
          </w:divBdr>
        </w:div>
        <w:div w:id="2017337926">
          <w:marLeft w:val="446"/>
          <w:marRight w:val="0"/>
          <w:marTop w:val="0"/>
          <w:marBottom w:val="0"/>
          <w:divBdr>
            <w:top w:val="none" w:sz="0" w:space="0" w:color="auto"/>
            <w:left w:val="none" w:sz="0" w:space="0" w:color="auto"/>
            <w:bottom w:val="none" w:sz="0" w:space="0" w:color="auto"/>
            <w:right w:val="none" w:sz="0" w:space="0" w:color="auto"/>
          </w:divBdr>
        </w:div>
      </w:divsChild>
    </w:div>
    <w:div w:id="1443114250">
      <w:bodyDiv w:val="1"/>
      <w:marLeft w:val="0"/>
      <w:marRight w:val="0"/>
      <w:marTop w:val="0"/>
      <w:marBottom w:val="0"/>
      <w:divBdr>
        <w:top w:val="none" w:sz="0" w:space="0" w:color="auto"/>
        <w:left w:val="none" w:sz="0" w:space="0" w:color="auto"/>
        <w:bottom w:val="none" w:sz="0" w:space="0" w:color="auto"/>
        <w:right w:val="none" w:sz="0" w:space="0" w:color="auto"/>
      </w:divBdr>
    </w:div>
    <w:div w:id="1540050188">
      <w:bodyDiv w:val="1"/>
      <w:marLeft w:val="0"/>
      <w:marRight w:val="0"/>
      <w:marTop w:val="0"/>
      <w:marBottom w:val="0"/>
      <w:divBdr>
        <w:top w:val="none" w:sz="0" w:space="0" w:color="auto"/>
        <w:left w:val="none" w:sz="0" w:space="0" w:color="auto"/>
        <w:bottom w:val="none" w:sz="0" w:space="0" w:color="auto"/>
        <w:right w:val="none" w:sz="0" w:space="0" w:color="auto"/>
      </w:divBdr>
    </w:div>
    <w:div w:id="1638799045">
      <w:bodyDiv w:val="1"/>
      <w:marLeft w:val="0"/>
      <w:marRight w:val="0"/>
      <w:marTop w:val="0"/>
      <w:marBottom w:val="0"/>
      <w:divBdr>
        <w:top w:val="none" w:sz="0" w:space="0" w:color="auto"/>
        <w:left w:val="none" w:sz="0" w:space="0" w:color="auto"/>
        <w:bottom w:val="none" w:sz="0" w:space="0" w:color="auto"/>
        <w:right w:val="none" w:sz="0" w:space="0" w:color="auto"/>
      </w:divBdr>
    </w:div>
    <w:div w:id="1797596892">
      <w:bodyDiv w:val="1"/>
      <w:marLeft w:val="0"/>
      <w:marRight w:val="0"/>
      <w:marTop w:val="0"/>
      <w:marBottom w:val="0"/>
      <w:divBdr>
        <w:top w:val="none" w:sz="0" w:space="0" w:color="auto"/>
        <w:left w:val="none" w:sz="0" w:space="0" w:color="auto"/>
        <w:bottom w:val="none" w:sz="0" w:space="0" w:color="auto"/>
        <w:right w:val="none" w:sz="0" w:space="0" w:color="auto"/>
      </w:divBdr>
    </w:div>
    <w:div w:id="1920478207">
      <w:bodyDiv w:val="1"/>
      <w:marLeft w:val="0"/>
      <w:marRight w:val="0"/>
      <w:marTop w:val="0"/>
      <w:marBottom w:val="0"/>
      <w:divBdr>
        <w:top w:val="none" w:sz="0" w:space="0" w:color="auto"/>
        <w:left w:val="none" w:sz="0" w:space="0" w:color="auto"/>
        <w:bottom w:val="none" w:sz="0" w:space="0" w:color="auto"/>
        <w:right w:val="none" w:sz="0" w:space="0" w:color="auto"/>
      </w:divBdr>
    </w:div>
    <w:div w:id="1935089487">
      <w:bodyDiv w:val="1"/>
      <w:marLeft w:val="0"/>
      <w:marRight w:val="0"/>
      <w:marTop w:val="0"/>
      <w:marBottom w:val="0"/>
      <w:divBdr>
        <w:top w:val="none" w:sz="0" w:space="0" w:color="auto"/>
        <w:left w:val="none" w:sz="0" w:space="0" w:color="auto"/>
        <w:bottom w:val="none" w:sz="0" w:space="0" w:color="auto"/>
        <w:right w:val="none" w:sz="0" w:space="0" w:color="auto"/>
      </w:divBdr>
      <w:divsChild>
        <w:div w:id="241641878">
          <w:marLeft w:val="0"/>
          <w:marRight w:val="0"/>
          <w:marTop w:val="0"/>
          <w:marBottom w:val="0"/>
          <w:divBdr>
            <w:top w:val="none" w:sz="0" w:space="0" w:color="auto"/>
            <w:left w:val="none" w:sz="0" w:space="0" w:color="auto"/>
            <w:bottom w:val="none" w:sz="0" w:space="0" w:color="auto"/>
            <w:right w:val="none" w:sz="0" w:space="0" w:color="auto"/>
          </w:divBdr>
        </w:div>
        <w:div w:id="274219782">
          <w:marLeft w:val="0"/>
          <w:marRight w:val="0"/>
          <w:marTop w:val="0"/>
          <w:marBottom w:val="0"/>
          <w:divBdr>
            <w:top w:val="none" w:sz="0" w:space="0" w:color="auto"/>
            <w:left w:val="none" w:sz="0" w:space="0" w:color="auto"/>
            <w:bottom w:val="none" w:sz="0" w:space="0" w:color="auto"/>
            <w:right w:val="none" w:sz="0" w:space="0" w:color="auto"/>
          </w:divBdr>
        </w:div>
        <w:div w:id="281158491">
          <w:marLeft w:val="0"/>
          <w:marRight w:val="0"/>
          <w:marTop w:val="0"/>
          <w:marBottom w:val="0"/>
          <w:divBdr>
            <w:top w:val="none" w:sz="0" w:space="0" w:color="auto"/>
            <w:left w:val="none" w:sz="0" w:space="0" w:color="auto"/>
            <w:bottom w:val="none" w:sz="0" w:space="0" w:color="auto"/>
            <w:right w:val="none" w:sz="0" w:space="0" w:color="auto"/>
          </w:divBdr>
        </w:div>
        <w:div w:id="287705528">
          <w:marLeft w:val="0"/>
          <w:marRight w:val="0"/>
          <w:marTop w:val="0"/>
          <w:marBottom w:val="0"/>
          <w:divBdr>
            <w:top w:val="none" w:sz="0" w:space="0" w:color="auto"/>
            <w:left w:val="none" w:sz="0" w:space="0" w:color="auto"/>
            <w:bottom w:val="none" w:sz="0" w:space="0" w:color="auto"/>
            <w:right w:val="none" w:sz="0" w:space="0" w:color="auto"/>
          </w:divBdr>
        </w:div>
        <w:div w:id="397171831">
          <w:marLeft w:val="0"/>
          <w:marRight w:val="0"/>
          <w:marTop w:val="0"/>
          <w:marBottom w:val="0"/>
          <w:divBdr>
            <w:top w:val="none" w:sz="0" w:space="0" w:color="auto"/>
            <w:left w:val="none" w:sz="0" w:space="0" w:color="auto"/>
            <w:bottom w:val="none" w:sz="0" w:space="0" w:color="auto"/>
            <w:right w:val="none" w:sz="0" w:space="0" w:color="auto"/>
          </w:divBdr>
        </w:div>
        <w:div w:id="415252192">
          <w:marLeft w:val="0"/>
          <w:marRight w:val="0"/>
          <w:marTop w:val="0"/>
          <w:marBottom w:val="0"/>
          <w:divBdr>
            <w:top w:val="none" w:sz="0" w:space="0" w:color="auto"/>
            <w:left w:val="none" w:sz="0" w:space="0" w:color="auto"/>
            <w:bottom w:val="none" w:sz="0" w:space="0" w:color="auto"/>
            <w:right w:val="none" w:sz="0" w:space="0" w:color="auto"/>
          </w:divBdr>
        </w:div>
        <w:div w:id="432822332">
          <w:marLeft w:val="0"/>
          <w:marRight w:val="0"/>
          <w:marTop w:val="0"/>
          <w:marBottom w:val="0"/>
          <w:divBdr>
            <w:top w:val="none" w:sz="0" w:space="0" w:color="auto"/>
            <w:left w:val="none" w:sz="0" w:space="0" w:color="auto"/>
            <w:bottom w:val="none" w:sz="0" w:space="0" w:color="auto"/>
            <w:right w:val="none" w:sz="0" w:space="0" w:color="auto"/>
          </w:divBdr>
        </w:div>
        <w:div w:id="451100434">
          <w:marLeft w:val="0"/>
          <w:marRight w:val="0"/>
          <w:marTop w:val="0"/>
          <w:marBottom w:val="0"/>
          <w:divBdr>
            <w:top w:val="none" w:sz="0" w:space="0" w:color="auto"/>
            <w:left w:val="none" w:sz="0" w:space="0" w:color="auto"/>
            <w:bottom w:val="none" w:sz="0" w:space="0" w:color="auto"/>
            <w:right w:val="none" w:sz="0" w:space="0" w:color="auto"/>
          </w:divBdr>
        </w:div>
        <w:div w:id="480773027">
          <w:marLeft w:val="0"/>
          <w:marRight w:val="0"/>
          <w:marTop w:val="0"/>
          <w:marBottom w:val="0"/>
          <w:divBdr>
            <w:top w:val="none" w:sz="0" w:space="0" w:color="auto"/>
            <w:left w:val="none" w:sz="0" w:space="0" w:color="auto"/>
            <w:bottom w:val="none" w:sz="0" w:space="0" w:color="auto"/>
            <w:right w:val="none" w:sz="0" w:space="0" w:color="auto"/>
          </w:divBdr>
        </w:div>
        <w:div w:id="603267616">
          <w:marLeft w:val="0"/>
          <w:marRight w:val="0"/>
          <w:marTop w:val="0"/>
          <w:marBottom w:val="0"/>
          <w:divBdr>
            <w:top w:val="none" w:sz="0" w:space="0" w:color="auto"/>
            <w:left w:val="none" w:sz="0" w:space="0" w:color="auto"/>
            <w:bottom w:val="none" w:sz="0" w:space="0" w:color="auto"/>
            <w:right w:val="none" w:sz="0" w:space="0" w:color="auto"/>
          </w:divBdr>
        </w:div>
        <w:div w:id="604308681">
          <w:marLeft w:val="0"/>
          <w:marRight w:val="0"/>
          <w:marTop w:val="0"/>
          <w:marBottom w:val="0"/>
          <w:divBdr>
            <w:top w:val="none" w:sz="0" w:space="0" w:color="auto"/>
            <w:left w:val="none" w:sz="0" w:space="0" w:color="auto"/>
            <w:bottom w:val="none" w:sz="0" w:space="0" w:color="auto"/>
            <w:right w:val="none" w:sz="0" w:space="0" w:color="auto"/>
          </w:divBdr>
        </w:div>
        <w:div w:id="622931015">
          <w:marLeft w:val="0"/>
          <w:marRight w:val="0"/>
          <w:marTop w:val="0"/>
          <w:marBottom w:val="0"/>
          <w:divBdr>
            <w:top w:val="none" w:sz="0" w:space="0" w:color="auto"/>
            <w:left w:val="none" w:sz="0" w:space="0" w:color="auto"/>
            <w:bottom w:val="none" w:sz="0" w:space="0" w:color="auto"/>
            <w:right w:val="none" w:sz="0" w:space="0" w:color="auto"/>
          </w:divBdr>
        </w:div>
        <w:div w:id="785275764">
          <w:marLeft w:val="0"/>
          <w:marRight w:val="0"/>
          <w:marTop w:val="0"/>
          <w:marBottom w:val="0"/>
          <w:divBdr>
            <w:top w:val="none" w:sz="0" w:space="0" w:color="auto"/>
            <w:left w:val="none" w:sz="0" w:space="0" w:color="auto"/>
            <w:bottom w:val="none" w:sz="0" w:space="0" w:color="auto"/>
            <w:right w:val="none" w:sz="0" w:space="0" w:color="auto"/>
          </w:divBdr>
        </w:div>
        <w:div w:id="789083588">
          <w:marLeft w:val="0"/>
          <w:marRight w:val="0"/>
          <w:marTop w:val="0"/>
          <w:marBottom w:val="0"/>
          <w:divBdr>
            <w:top w:val="none" w:sz="0" w:space="0" w:color="auto"/>
            <w:left w:val="none" w:sz="0" w:space="0" w:color="auto"/>
            <w:bottom w:val="none" w:sz="0" w:space="0" w:color="auto"/>
            <w:right w:val="none" w:sz="0" w:space="0" w:color="auto"/>
          </w:divBdr>
        </w:div>
        <w:div w:id="801118814">
          <w:marLeft w:val="0"/>
          <w:marRight w:val="0"/>
          <w:marTop w:val="0"/>
          <w:marBottom w:val="0"/>
          <w:divBdr>
            <w:top w:val="none" w:sz="0" w:space="0" w:color="auto"/>
            <w:left w:val="none" w:sz="0" w:space="0" w:color="auto"/>
            <w:bottom w:val="none" w:sz="0" w:space="0" w:color="auto"/>
            <w:right w:val="none" w:sz="0" w:space="0" w:color="auto"/>
          </w:divBdr>
        </w:div>
        <w:div w:id="913857363">
          <w:marLeft w:val="0"/>
          <w:marRight w:val="0"/>
          <w:marTop w:val="0"/>
          <w:marBottom w:val="0"/>
          <w:divBdr>
            <w:top w:val="none" w:sz="0" w:space="0" w:color="auto"/>
            <w:left w:val="none" w:sz="0" w:space="0" w:color="auto"/>
            <w:bottom w:val="none" w:sz="0" w:space="0" w:color="auto"/>
            <w:right w:val="none" w:sz="0" w:space="0" w:color="auto"/>
          </w:divBdr>
        </w:div>
        <w:div w:id="1111321899">
          <w:marLeft w:val="0"/>
          <w:marRight w:val="0"/>
          <w:marTop w:val="0"/>
          <w:marBottom w:val="0"/>
          <w:divBdr>
            <w:top w:val="none" w:sz="0" w:space="0" w:color="auto"/>
            <w:left w:val="none" w:sz="0" w:space="0" w:color="auto"/>
            <w:bottom w:val="none" w:sz="0" w:space="0" w:color="auto"/>
            <w:right w:val="none" w:sz="0" w:space="0" w:color="auto"/>
          </w:divBdr>
        </w:div>
        <w:div w:id="1115175834">
          <w:marLeft w:val="0"/>
          <w:marRight w:val="0"/>
          <w:marTop w:val="0"/>
          <w:marBottom w:val="0"/>
          <w:divBdr>
            <w:top w:val="none" w:sz="0" w:space="0" w:color="auto"/>
            <w:left w:val="none" w:sz="0" w:space="0" w:color="auto"/>
            <w:bottom w:val="none" w:sz="0" w:space="0" w:color="auto"/>
            <w:right w:val="none" w:sz="0" w:space="0" w:color="auto"/>
          </w:divBdr>
        </w:div>
        <w:div w:id="1116021766">
          <w:marLeft w:val="0"/>
          <w:marRight w:val="0"/>
          <w:marTop w:val="0"/>
          <w:marBottom w:val="0"/>
          <w:divBdr>
            <w:top w:val="none" w:sz="0" w:space="0" w:color="auto"/>
            <w:left w:val="none" w:sz="0" w:space="0" w:color="auto"/>
            <w:bottom w:val="none" w:sz="0" w:space="0" w:color="auto"/>
            <w:right w:val="none" w:sz="0" w:space="0" w:color="auto"/>
          </w:divBdr>
        </w:div>
        <w:div w:id="1158113414">
          <w:marLeft w:val="0"/>
          <w:marRight w:val="0"/>
          <w:marTop w:val="0"/>
          <w:marBottom w:val="0"/>
          <w:divBdr>
            <w:top w:val="none" w:sz="0" w:space="0" w:color="auto"/>
            <w:left w:val="none" w:sz="0" w:space="0" w:color="auto"/>
            <w:bottom w:val="none" w:sz="0" w:space="0" w:color="auto"/>
            <w:right w:val="none" w:sz="0" w:space="0" w:color="auto"/>
          </w:divBdr>
        </w:div>
        <w:div w:id="1210994492">
          <w:marLeft w:val="0"/>
          <w:marRight w:val="0"/>
          <w:marTop w:val="0"/>
          <w:marBottom w:val="0"/>
          <w:divBdr>
            <w:top w:val="none" w:sz="0" w:space="0" w:color="auto"/>
            <w:left w:val="none" w:sz="0" w:space="0" w:color="auto"/>
            <w:bottom w:val="none" w:sz="0" w:space="0" w:color="auto"/>
            <w:right w:val="none" w:sz="0" w:space="0" w:color="auto"/>
          </w:divBdr>
        </w:div>
        <w:div w:id="1321814899">
          <w:marLeft w:val="0"/>
          <w:marRight w:val="0"/>
          <w:marTop w:val="0"/>
          <w:marBottom w:val="0"/>
          <w:divBdr>
            <w:top w:val="none" w:sz="0" w:space="0" w:color="auto"/>
            <w:left w:val="none" w:sz="0" w:space="0" w:color="auto"/>
            <w:bottom w:val="none" w:sz="0" w:space="0" w:color="auto"/>
            <w:right w:val="none" w:sz="0" w:space="0" w:color="auto"/>
          </w:divBdr>
        </w:div>
        <w:div w:id="1431661268">
          <w:marLeft w:val="0"/>
          <w:marRight w:val="0"/>
          <w:marTop w:val="0"/>
          <w:marBottom w:val="0"/>
          <w:divBdr>
            <w:top w:val="none" w:sz="0" w:space="0" w:color="auto"/>
            <w:left w:val="none" w:sz="0" w:space="0" w:color="auto"/>
            <w:bottom w:val="none" w:sz="0" w:space="0" w:color="auto"/>
            <w:right w:val="none" w:sz="0" w:space="0" w:color="auto"/>
          </w:divBdr>
        </w:div>
        <w:div w:id="1576627456">
          <w:marLeft w:val="0"/>
          <w:marRight w:val="0"/>
          <w:marTop w:val="0"/>
          <w:marBottom w:val="0"/>
          <w:divBdr>
            <w:top w:val="none" w:sz="0" w:space="0" w:color="auto"/>
            <w:left w:val="none" w:sz="0" w:space="0" w:color="auto"/>
            <w:bottom w:val="none" w:sz="0" w:space="0" w:color="auto"/>
            <w:right w:val="none" w:sz="0" w:space="0" w:color="auto"/>
          </w:divBdr>
        </w:div>
        <w:div w:id="1764374703">
          <w:marLeft w:val="0"/>
          <w:marRight w:val="0"/>
          <w:marTop w:val="0"/>
          <w:marBottom w:val="0"/>
          <w:divBdr>
            <w:top w:val="none" w:sz="0" w:space="0" w:color="auto"/>
            <w:left w:val="none" w:sz="0" w:space="0" w:color="auto"/>
            <w:bottom w:val="none" w:sz="0" w:space="0" w:color="auto"/>
            <w:right w:val="none" w:sz="0" w:space="0" w:color="auto"/>
          </w:divBdr>
        </w:div>
        <w:div w:id="1839881363">
          <w:marLeft w:val="0"/>
          <w:marRight w:val="0"/>
          <w:marTop w:val="0"/>
          <w:marBottom w:val="0"/>
          <w:divBdr>
            <w:top w:val="none" w:sz="0" w:space="0" w:color="auto"/>
            <w:left w:val="none" w:sz="0" w:space="0" w:color="auto"/>
            <w:bottom w:val="none" w:sz="0" w:space="0" w:color="auto"/>
            <w:right w:val="none" w:sz="0" w:space="0" w:color="auto"/>
          </w:divBdr>
        </w:div>
        <w:div w:id="1886134782">
          <w:marLeft w:val="0"/>
          <w:marRight w:val="0"/>
          <w:marTop w:val="0"/>
          <w:marBottom w:val="0"/>
          <w:divBdr>
            <w:top w:val="none" w:sz="0" w:space="0" w:color="auto"/>
            <w:left w:val="none" w:sz="0" w:space="0" w:color="auto"/>
            <w:bottom w:val="none" w:sz="0" w:space="0" w:color="auto"/>
            <w:right w:val="none" w:sz="0" w:space="0" w:color="auto"/>
          </w:divBdr>
        </w:div>
        <w:div w:id="1919710649">
          <w:marLeft w:val="0"/>
          <w:marRight w:val="0"/>
          <w:marTop w:val="0"/>
          <w:marBottom w:val="0"/>
          <w:divBdr>
            <w:top w:val="none" w:sz="0" w:space="0" w:color="auto"/>
            <w:left w:val="none" w:sz="0" w:space="0" w:color="auto"/>
            <w:bottom w:val="none" w:sz="0" w:space="0" w:color="auto"/>
            <w:right w:val="none" w:sz="0" w:space="0" w:color="auto"/>
          </w:divBdr>
        </w:div>
        <w:div w:id="2049210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xe.com/fr/currencyconverter/convert/?Amount=1&amp;From=GBP&amp;To=US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xe.com/fr/currencyconverter/convert/?Amount=1&amp;From=GBP&amp;To=US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xe.com/fr/currencyconverter/convert/?Amount=1&amp;From=GBP&amp;To=US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gbr01.safelinks.protection.outlook.com/?url=http%3A%2F%2Fwww.iiasa.ac.at%2Fweb-apps%2Ftnt%2FRcpDb&amp;data=02%7C01%7Cjustine.roure%40climateinvestments.energy%7Caff66be1138c4ccef45a08d72b8c57c6%7Cea19f1985f574dfeba9c04f84155ec84%7C1%7C0%7C637025754083975621&amp;sdata=p3uOlVBs9O92HYtijUBy4jQP1FEYfxzezsRGL6Qwhec%3D&amp;reserved=0"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xe.com/fr/currencyconverter/convert/?Amount=1&amp;From=GBP&amp;To=US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science.sciencemag.org%2Fcontent%2F361%2F6405%2F851&amp;data=02%7C01%7Cjustine.roure%40climateinvestments.energy%7Caff66be1138c4ccef45a08d72b8c57c6%7Cea19f1985f574dfeba9c04f84155ec84%7C1%7C0%7C637025754083975621&amp;sdata=JJhCSzruZguvfjFCS9D81rTx11HzYHqQTZW9jAlyRJQ%3D&amp;reserved=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f3993290-6be9-4271-9ebb-24bc8395c2c5" xsi:nil="true"/>
    <_ip_UnifiedCompliancePolicyUIAction xmlns="http://schemas.microsoft.com/sharepoint/v3" xsi:nil="true"/>
    <_ip_UnifiedCompliancePolicyProperties xmlns="http://schemas.microsoft.com/sharepoint/v3" xsi:nil="true"/>
    <lcf76f155ced4ddcb4097134ff3c332f xmlns="f3993290-6be9-4271-9ebb-24bc8395c2c5">
      <Terms xmlns="http://schemas.microsoft.com/office/infopath/2007/PartnerControls"/>
    </lcf76f155ced4ddcb4097134ff3c332f>
    <TaxCatchAll xmlns="cacd5edc-40d5-4bbd-a58b-aa7c13c6a0ac" xsi:nil="true"/>
    <DT xmlns="f3993290-6be9-4271-9ebb-24bc8395c2c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A47EC66A168145947BFB4E3C0785C1" ma:contentTypeVersion="22" ma:contentTypeDescription="Create a new document." ma:contentTypeScope="" ma:versionID="e3c6c12af1cfc0c46fb8f958b557492a">
  <xsd:schema xmlns:xsd="http://www.w3.org/2001/XMLSchema" xmlns:xs="http://www.w3.org/2001/XMLSchema" xmlns:p="http://schemas.microsoft.com/office/2006/metadata/properties" xmlns:ns1="http://schemas.microsoft.com/sharepoint/v3" xmlns:ns2="f3993290-6be9-4271-9ebb-24bc8395c2c5" xmlns:ns3="cacd5edc-40d5-4bbd-a58b-aa7c13c6a0ac" targetNamespace="http://schemas.microsoft.com/office/2006/metadata/properties" ma:root="true" ma:fieldsID="31d2d67dcf31d8e3a2257519d306dd6f" ns1:_="" ns2:_="" ns3:_="">
    <xsd:import namespace="http://schemas.microsoft.com/sharepoint/v3"/>
    <xsd:import namespace="f3993290-6be9-4271-9ebb-24bc8395c2c5"/>
    <xsd:import namespace="cacd5edc-40d5-4bbd-a58b-aa7c13c6a0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LengthInSeconds" minOccurs="0"/>
                <xsd:element ref="ns1:_ip_UnifiedCompliancePolicyProperties" minOccurs="0"/>
                <xsd:element ref="ns1:_ip_UnifiedCompliancePolicyUIAction" minOccurs="0"/>
                <xsd:element ref="ns2:D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993290-6be9-4271-9ebb-24bc8395c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DT" ma:index="24" nillable="true" ma:displayName="DT" ma:format="DateOnly" ma:internalName="DT">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692fa50-9595-41b9-acbc-97a87283e6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cd5edc-40d5-4bbd-a58b-aa7c13c6a0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a9af655-6fb9-41f5-b249-58d1ce72d9ad}" ma:internalName="TaxCatchAll" ma:showField="CatchAllData" ma:web="cacd5edc-40d5-4bbd-a58b-aa7c13c6a0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2DD25-75B3-45CD-B334-E70A8E23F039}">
  <ds:schemaRefs>
    <ds:schemaRef ds:uri="http://schemas.microsoft.com/sharepoint/v3/contenttype/forms"/>
  </ds:schemaRefs>
</ds:datastoreItem>
</file>

<file path=customXml/itemProps2.xml><?xml version="1.0" encoding="utf-8"?>
<ds:datastoreItem xmlns:ds="http://schemas.openxmlformats.org/officeDocument/2006/customXml" ds:itemID="{9F700FF2-2155-4625-A91A-468D24AF97A7}">
  <ds:schemaRefs>
    <ds:schemaRef ds:uri="http://schemas.microsoft.com/office/2006/metadata/properties"/>
    <ds:schemaRef ds:uri="http://schemas.microsoft.com/office/infopath/2007/PartnerControls"/>
    <ds:schemaRef ds:uri="f3993290-6be9-4271-9ebb-24bc8395c2c5"/>
    <ds:schemaRef ds:uri="http://schemas.microsoft.com/sharepoint/v3"/>
    <ds:schemaRef ds:uri="cacd5edc-40d5-4bbd-a58b-aa7c13c6a0ac"/>
  </ds:schemaRefs>
</ds:datastoreItem>
</file>

<file path=customXml/itemProps3.xml><?xml version="1.0" encoding="utf-8"?>
<ds:datastoreItem xmlns:ds="http://schemas.openxmlformats.org/officeDocument/2006/customXml" ds:itemID="{C53CBAAE-9D03-40D0-9827-DD0F2024B161}">
  <ds:schemaRefs>
    <ds:schemaRef ds:uri="http://schemas.openxmlformats.org/officeDocument/2006/bibliography"/>
  </ds:schemaRefs>
</ds:datastoreItem>
</file>

<file path=customXml/itemProps4.xml><?xml version="1.0" encoding="utf-8"?>
<ds:datastoreItem xmlns:ds="http://schemas.openxmlformats.org/officeDocument/2006/customXml" ds:itemID="{8966F54A-E82D-419D-B963-BAE5D3376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993290-6be9-4271-9ebb-24bc8395c2c5"/>
    <ds:schemaRef ds:uri="cacd5edc-40d5-4bbd-a58b-aa7c13c6a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9531</Words>
  <Characters>54329</Characters>
  <Application>Microsoft Office Word</Application>
  <DocSecurity>0</DocSecurity>
  <Lines>452</Lines>
  <Paragraphs>127</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TOTAL</Company>
  <LinksUpToDate>false</LinksUpToDate>
  <CharactersWithSpaces>63733</CharactersWithSpaces>
  <SharedDoc>false</SharedDoc>
  <HLinks>
    <vt:vector size="108" baseType="variant">
      <vt:variant>
        <vt:i4>5636169</vt:i4>
      </vt:variant>
      <vt:variant>
        <vt:i4>195</vt:i4>
      </vt:variant>
      <vt:variant>
        <vt:i4>0</vt:i4>
      </vt:variant>
      <vt:variant>
        <vt:i4>5</vt:i4>
      </vt:variant>
      <vt:variant>
        <vt:lpwstr>https://www.xe.com/fr/currencyconverter/convert/?Amount=1&amp;From=GBP&amp;To=USD</vt:lpwstr>
      </vt:variant>
      <vt:variant>
        <vt:lpwstr/>
      </vt:variant>
      <vt:variant>
        <vt:i4>5636169</vt:i4>
      </vt:variant>
      <vt:variant>
        <vt:i4>192</vt:i4>
      </vt:variant>
      <vt:variant>
        <vt:i4>0</vt:i4>
      </vt:variant>
      <vt:variant>
        <vt:i4>5</vt:i4>
      </vt:variant>
      <vt:variant>
        <vt:lpwstr>https://www.xe.com/fr/currencyconverter/convert/?Amount=1&amp;From=GBP&amp;To=USD</vt:lpwstr>
      </vt:variant>
      <vt:variant>
        <vt:lpwstr/>
      </vt:variant>
      <vt:variant>
        <vt:i4>5636169</vt:i4>
      </vt:variant>
      <vt:variant>
        <vt:i4>189</vt:i4>
      </vt:variant>
      <vt:variant>
        <vt:i4>0</vt:i4>
      </vt:variant>
      <vt:variant>
        <vt:i4>5</vt:i4>
      </vt:variant>
      <vt:variant>
        <vt:lpwstr>https://www.xe.com/fr/currencyconverter/convert/?Amount=1&amp;From=GBP&amp;To=USD</vt:lpwstr>
      </vt:variant>
      <vt:variant>
        <vt:lpwstr/>
      </vt:variant>
      <vt:variant>
        <vt:i4>5636169</vt:i4>
      </vt:variant>
      <vt:variant>
        <vt:i4>186</vt:i4>
      </vt:variant>
      <vt:variant>
        <vt:i4>0</vt:i4>
      </vt:variant>
      <vt:variant>
        <vt:i4>5</vt:i4>
      </vt:variant>
      <vt:variant>
        <vt:lpwstr>https://www.xe.com/fr/currencyconverter/convert/?Amount=1&amp;From=GBP&amp;To=USD</vt:lpwstr>
      </vt:variant>
      <vt:variant>
        <vt:lpwstr/>
      </vt:variant>
      <vt:variant>
        <vt:i4>7405690</vt:i4>
      </vt:variant>
      <vt:variant>
        <vt:i4>177</vt:i4>
      </vt:variant>
      <vt:variant>
        <vt:i4>0</vt:i4>
      </vt:variant>
      <vt:variant>
        <vt:i4>5</vt:i4>
      </vt:variant>
      <vt:variant>
        <vt:lpwstr>https://gbr01.safelinks.protection.outlook.com/?url=http%3A%2F%2Fwww.iiasa.ac.at%2Fweb-apps%2Ftnt%2FRcpDb&amp;data=02%7C01%7Cjustine.roure%40climateinvestments.energy%7Caff66be1138c4ccef45a08d72b8c57c6%7Cea19f1985f574dfeba9c04f84155ec84%7C1%7C0%7C637025754083975621&amp;sdata=p3uOlVBs9O92HYtijUBy4jQP1FEYfxzezsRGL6Qwhec%3D&amp;reserved=0</vt:lpwstr>
      </vt:variant>
      <vt:variant>
        <vt:lpwstr/>
      </vt:variant>
      <vt:variant>
        <vt:i4>7536686</vt:i4>
      </vt:variant>
      <vt:variant>
        <vt:i4>174</vt:i4>
      </vt:variant>
      <vt:variant>
        <vt:i4>0</vt:i4>
      </vt:variant>
      <vt:variant>
        <vt:i4>5</vt:i4>
      </vt:variant>
      <vt:variant>
        <vt:lpwstr>https://gbr01.safelinks.protection.outlook.com/?url=https%3A%2F%2Fscience.sciencemag.org%2Fcontent%2F361%2F6405%2F851&amp;data=02%7C01%7Cjustine.roure%40climateinvestments.energy%7Caff66be1138c4ccef45a08d72b8c57c6%7Cea19f1985f574dfeba9c04f84155ec84%7C1%7C0%7C637025754083975621&amp;sdata=JJhCSzruZguvfjFCS9D81rTx11HzYHqQTZW9jAlyRJQ%3D&amp;reserved=0</vt:lpwstr>
      </vt:variant>
      <vt:variant>
        <vt:lpwstr/>
      </vt:variant>
      <vt:variant>
        <vt:i4>1441845</vt:i4>
      </vt:variant>
      <vt:variant>
        <vt:i4>68</vt:i4>
      </vt:variant>
      <vt:variant>
        <vt:i4>0</vt:i4>
      </vt:variant>
      <vt:variant>
        <vt:i4>5</vt:i4>
      </vt:variant>
      <vt:variant>
        <vt:lpwstr/>
      </vt:variant>
      <vt:variant>
        <vt:lpwstr>_Toc63675702</vt:lpwstr>
      </vt:variant>
      <vt:variant>
        <vt:i4>1376309</vt:i4>
      </vt:variant>
      <vt:variant>
        <vt:i4>62</vt:i4>
      </vt:variant>
      <vt:variant>
        <vt:i4>0</vt:i4>
      </vt:variant>
      <vt:variant>
        <vt:i4>5</vt:i4>
      </vt:variant>
      <vt:variant>
        <vt:lpwstr/>
      </vt:variant>
      <vt:variant>
        <vt:lpwstr>_Toc63675701</vt:lpwstr>
      </vt:variant>
      <vt:variant>
        <vt:i4>1310773</vt:i4>
      </vt:variant>
      <vt:variant>
        <vt:i4>56</vt:i4>
      </vt:variant>
      <vt:variant>
        <vt:i4>0</vt:i4>
      </vt:variant>
      <vt:variant>
        <vt:i4>5</vt:i4>
      </vt:variant>
      <vt:variant>
        <vt:lpwstr/>
      </vt:variant>
      <vt:variant>
        <vt:lpwstr>_Toc63675700</vt:lpwstr>
      </vt:variant>
      <vt:variant>
        <vt:i4>1835068</vt:i4>
      </vt:variant>
      <vt:variant>
        <vt:i4>50</vt:i4>
      </vt:variant>
      <vt:variant>
        <vt:i4>0</vt:i4>
      </vt:variant>
      <vt:variant>
        <vt:i4>5</vt:i4>
      </vt:variant>
      <vt:variant>
        <vt:lpwstr/>
      </vt:variant>
      <vt:variant>
        <vt:lpwstr>_Toc63675699</vt:lpwstr>
      </vt:variant>
      <vt:variant>
        <vt:i4>1900604</vt:i4>
      </vt:variant>
      <vt:variant>
        <vt:i4>44</vt:i4>
      </vt:variant>
      <vt:variant>
        <vt:i4>0</vt:i4>
      </vt:variant>
      <vt:variant>
        <vt:i4>5</vt:i4>
      </vt:variant>
      <vt:variant>
        <vt:lpwstr/>
      </vt:variant>
      <vt:variant>
        <vt:lpwstr>_Toc63675698</vt:lpwstr>
      </vt:variant>
      <vt:variant>
        <vt:i4>1179708</vt:i4>
      </vt:variant>
      <vt:variant>
        <vt:i4>38</vt:i4>
      </vt:variant>
      <vt:variant>
        <vt:i4>0</vt:i4>
      </vt:variant>
      <vt:variant>
        <vt:i4>5</vt:i4>
      </vt:variant>
      <vt:variant>
        <vt:lpwstr/>
      </vt:variant>
      <vt:variant>
        <vt:lpwstr>_Toc63675697</vt:lpwstr>
      </vt:variant>
      <vt:variant>
        <vt:i4>1245244</vt:i4>
      </vt:variant>
      <vt:variant>
        <vt:i4>32</vt:i4>
      </vt:variant>
      <vt:variant>
        <vt:i4>0</vt:i4>
      </vt:variant>
      <vt:variant>
        <vt:i4>5</vt:i4>
      </vt:variant>
      <vt:variant>
        <vt:lpwstr/>
      </vt:variant>
      <vt:variant>
        <vt:lpwstr>_Toc63675696</vt:lpwstr>
      </vt:variant>
      <vt:variant>
        <vt:i4>1048636</vt:i4>
      </vt:variant>
      <vt:variant>
        <vt:i4>26</vt:i4>
      </vt:variant>
      <vt:variant>
        <vt:i4>0</vt:i4>
      </vt:variant>
      <vt:variant>
        <vt:i4>5</vt:i4>
      </vt:variant>
      <vt:variant>
        <vt:lpwstr/>
      </vt:variant>
      <vt:variant>
        <vt:lpwstr>_Toc63675695</vt:lpwstr>
      </vt:variant>
      <vt:variant>
        <vt:i4>1114172</vt:i4>
      </vt:variant>
      <vt:variant>
        <vt:i4>20</vt:i4>
      </vt:variant>
      <vt:variant>
        <vt:i4>0</vt:i4>
      </vt:variant>
      <vt:variant>
        <vt:i4>5</vt:i4>
      </vt:variant>
      <vt:variant>
        <vt:lpwstr/>
      </vt:variant>
      <vt:variant>
        <vt:lpwstr>_Toc63675694</vt:lpwstr>
      </vt:variant>
      <vt:variant>
        <vt:i4>1441852</vt:i4>
      </vt:variant>
      <vt:variant>
        <vt:i4>14</vt:i4>
      </vt:variant>
      <vt:variant>
        <vt:i4>0</vt:i4>
      </vt:variant>
      <vt:variant>
        <vt:i4>5</vt:i4>
      </vt:variant>
      <vt:variant>
        <vt:lpwstr/>
      </vt:variant>
      <vt:variant>
        <vt:lpwstr>_Toc63675693</vt:lpwstr>
      </vt:variant>
      <vt:variant>
        <vt:i4>1507388</vt:i4>
      </vt:variant>
      <vt:variant>
        <vt:i4>8</vt:i4>
      </vt:variant>
      <vt:variant>
        <vt:i4>0</vt:i4>
      </vt:variant>
      <vt:variant>
        <vt:i4>5</vt:i4>
      </vt:variant>
      <vt:variant>
        <vt:lpwstr/>
      </vt:variant>
      <vt:variant>
        <vt:lpwstr>_Toc63675692</vt:lpwstr>
      </vt:variant>
      <vt:variant>
        <vt:i4>1310780</vt:i4>
      </vt:variant>
      <vt:variant>
        <vt:i4>2</vt:i4>
      </vt:variant>
      <vt:variant>
        <vt:i4>0</vt:i4>
      </vt:variant>
      <vt:variant>
        <vt:i4>5</vt:i4>
      </vt:variant>
      <vt:variant>
        <vt:lpwstr/>
      </vt:variant>
      <vt:variant>
        <vt:lpwstr>_Toc63675691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 SP&amp;T</dc:creator>
  <cp:keywords/>
  <dc:description/>
  <cp:lastModifiedBy>Delia Meth-Cohn</cp:lastModifiedBy>
  <cp:revision>4</cp:revision>
  <cp:lastPrinted>2019-10-08T08:54:00Z</cp:lastPrinted>
  <dcterms:created xsi:type="dcterms:W3CDTF">2022-09-02T16:44:00Z</dcterms:created>
  <dcterms:modified xsi:type="dcterms:W3CDTF">2022-09-05T09:15:00Z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3371c1e-a8c3-495e-b990-7dfcb00e1522_Enabled">
    <vt:lpwstr>True</vt:lpwstr>
  </property>
  <property fmtid="{D5CDD505-2E9C-101B-9397-08002B2CF9AE}" pid="3" name="MSIP_Label_a3371c1e-a8c3-495e-b990-7dfcb00e1522_SiteId">
    <vt:lpwstr>ea80952e-a476-42d4-aaf4-5457852b0f7e</vt:lpwstr>
  </property>
  <property fmtid="{D5CDD505-2E9C-101B-9397-08002B2CF9AE}" pid="4" name="MSIP_Label_a3371c1e-a8c3-495e-b990-7dfcb00e1522_Owner">
    <vt:lpwstr>richenda.hall@bp.com</vt:lpwstr>
  </property>
  <property fmtid="{D5CDD505-2E9C-101B-9397-08002B2CF9AE}" pid="5" name="MSIP_Label_a3371c1e-a8c3-495e-b990-7dfcb00e1522_SetDate">
    <vt:lpwstr>2019-09-19T08:06:17.7463808Z</vt:lpwstr>
  </property>
  <property fmtid="{D5CDD505-2E9C-101B-9397-08002B2CF9AE}" pid="6" name="MSIP_Label_a3371c1e-a8c3-495e-b990-7dfcb00e1522_Name">
    <vt:lpwstr>Confidential</vt:lpwstr>
  </property>
  <property fmtid="{D5CDD505-2E9C-101B-9397-08002B2CF9AE}" pid="7" name="MSIP_Label_a3371c1e-a8c3-495e-b990-7dfcb00e1522_Application">
    <vt:lpwstr>Microsoft Azure Information Protection</vt:lpwstr>
  </property>
  <property fmtid="{D5CDD505-2E9C-101B-9397-08002B2CF9AE}" pid="8" name="MSIP_Label_a3371c1e-a8c3-495e-b990-7dfcb00e1522_ActionId">
    <vt:lpwstr>95b24df2-b348-490d-b52f-d48c1348360e</vt:lpwstr>
  </property>
  <property fmtid="{D5CDD505-2E9C-101B-9397-08002B2CF9AE}" pid="9" name="MSIP_Label_a3371c1e-a8c3-495e-b990-7dfcb00e1522_Extended_MSFT_Method">
    <vt:lpwstr>Manual</vt:lpwstr>
  </property>
  <property fmtid="{D5CDD505-2E9C-101B-9397-08002B2CF9AE}" pid="10" name="ContentTypeId">
    <vt:lpwstr>0x010100BEA47EC66A168145947BFB4E3C0785C1</vt:lpwstr>
  </property>
</Properties>
</file>